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7B1D" w:rsidRDefault="00BB6CB9">
      <w:pPr>
        <w:ind w:left="-567" w:right="284"/>
        <w:jc w:val="center"/>
        <w:rPr>
          <w:b/>
          <w:u w:val="single"/>
        </w:rPr>
      </w:pPr>
      <w:r>
        <w:rPr>
          <w:b/>
          <w:u w:val="single"/>
        </w:rPr>
        <w:t>Obecný popis technologie AQ3 Mini, pro modelovou řadu 2; ver.textu_1.09</w:t>
      </w:r>
      <w:r w:rsidR="005968AB">
        <w:rPr>
          <w:b/>
          <w:u w:val="single"/>
        </w:rPr>
        <w:t>8</w:t>
      </w:r>
      <w:r>
        <w:rPr>
          <w:b/>
          <w:u w:val="single"/>
        </w:rPr>
        <w:t>**</w:t>
      </w:r>
    </w:p>
    <w:p w:rsidR="00287B1D" w:rsidRDefault="00BB6CB9">
      <w:pPr>
        <w:ind w:left="-567" w:right="284"/>
        <w:jc w:val="center"/>
        <w:rPr>
          <w:color w:val="6600CC"/>
          <w:sz w:val="12"/>
          <w:szCs w:val="12"/>
        </w:rPr>
      </w:pPr>
      <w:r>
        <w:rPr>
          <w:color w:val="6600CC"/>
          <w:sz w:val="12"/>
          <w:szCs w:val="12"/>
        </w:rPr>
        <w:t>Basic; Standard/Exclusive;</w:t>
      </w:r>
      <w:r>
        <w:rPr>
          <w:b/>
          <w:color w:val="6600CC"/>
          <w:sz w:val="12"/>
          <w:szCs w:val="12"/>
        </w:rPr>
        <w:t xml:space="preserve"> </w:t>
      </w:r>
      <w:r>
        <w:rPr>
          <w:color w:val="6600CC"/>
          <w:sz w:val="12"/>
          <w:szCs w:val="12"/>
        </w:rPr>
        <w:t>Café Standard/Exclusive</w:t>
      </w:r>
    </w:p>
    <w:p w:rsidR="00287B1D" w:rsidRDefault="00BB6CB9">
      <w:pPr>
        <w:ind w:left="-567" w:right="284"/>
        <w:jc w:val="center"/>
        <w:rPr>
          <w:sz w:val="12"/>
          <w:szCs w:val="12"/>
        </w:rPr>
      </w:pPr>
      <w:r>
        <w:rPr>
          <w:sz w:val="12"/>
          <w:szCs w:val="12"/>
        </w:rPr>
        <w:t xml:space="preserve">(Koncepčně použitelný i pro separační a sedimentační modelovou řadu 1) </w:t>
      </w:r>
    </w:p>
    <w:p w:rsidR="00287B1D" w:rsidRDefault="00BB6CB9">
      <w:pPr>
        <w:ind w:left="-567" w:right="284"/>
        <w:jc w:val="center"/>
      </w:pPr>
      <w:r>
        <w:rPr>
          <w:noProof/>
          <w:lang w:eastAsia="cs-CZ"/>
        </w:rPr>
        <w:drawing>
          <wp:inline distT="0" distB="0" distL="0" distR="0">
            <wp:extent cx="3837305" cy="2402205"/>
            <wp:effectExtent l="0" t="0" r="0" b="0"/>
            <wp:docPr id="1" name="Obrázek 63" descr="http://www.vti-cz.com/images/cert/aq3minibasic/aq3minibas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63" descr="http://www.vti-cz.com/images/cert/aq3minibasic/aq3minibasic.jpg"/>
                    <pic:cNvPicPr>
                      <a:picLocks noChangeAspect="1" noChangeArrowheads="1"/>
                    </pic:cNvPicPr>
                  </pic:nvPicPr>
                  <pic:blipFill>
                    <a:blip r:embed="rId9"/>
                    <a:stretch>
                      <a:fillRect/>
                    </a:stretch>
                  </pic:blipFill>
                  <pic:spPr bwMode="auto">
                    <a:xfrm>
                      <a:off x="0" y="0"/>
                      <a:ext cx="3837305" cy="2402205"/>
                    </a:xfrm>
                    <a:prstGeom prst="rect">
                      <a:avLst/>
                    </a:prstGeom>
                  </pic:spPr>
                </pic:pic>
              </a:graphicData>
            </a:graphic>
          </wp:inline>
        </w:drawing>
      </w:r>
    </w:p>
    <w:p w:rsidR="00287B1D" w:rsidRDefault="00BB6CB9">
      <w:pPr>
        <w:ind w:left="-567" w:right="284"/>
        <w:jc w:val="center"/>
        <w:rPr>
          <w:sz w:val="14"/>
          <w:szCs w:val="14"/>
        </w:rPr>
      </w:pPr>
      <w:proofErr w:type="gramStart"/>
      <w:r>
        <w:rPr>
          <w:sz w:val="14"/>
          <w:szCs w:val="14"/>
        </w:rPr>
        <w:t>Obr.1 AQ3</w:t>
      </w:r>
      <w:proofErr w:type="gramEnd"/>
      <w:r>
        <w:rPr>
          <w:sz w:val="14"/>
          <w:szCs w:val="14"/>
        </w:rPr>
        <w:t xml:space="preserve"> Mini; 3D - obecné znázornění</w:t>
      </w:r>
    </w:p>
    <w:p w:rsidR="00287B1D" w:rsidRDefault="00BB6CB9">
      <w:pPr>
        <w:ind w:left="-567" w:right="284"/>
        <w:jc w:val="center"/>
        <w:rPr>
          <w:b/>
          <w:u w:val="single"/>
        </w:rPr>
      </w:pPr>
      <w:r>
        <w:rPr>
          <w:b/>
          <w:u w:val="single"/>
        </w:rPr>
        <w:t xml:space="preserve">Popis funkce AQ3 Mini </w:t>
      </w:r>
      <w:r>
        <w:rPr>
          <w:u w:val="single"/>
        </w:rPr>
        <w:t>Basic; Standard/Exclusive;</w:t>
      </w:r>
      <w:r>
        <w:rPr>
          <w:b/>
          <w:u w:val="single"/>
        </w:rPr>
        <w:t xml:space="preserve"> </w:t>
      </w:r>
      <w:r>
        <w:rPr>
          <w:u w:val="single"/>
        </w:rPr>
        <w:t>Café Standard/Exclusive</w:t>
      </w:r>
    </w:p>
    <w:p w:rsidR="00287B1D" w:rsidRDefault="00BB6CB9">
      <w:pPr>
        <w:ind w:left="-567" w:right="284"/>
        <w:rPr>
          <w:b/>
          <w:color w:val="FF0000"/>
          <w:u w:val="single"/>
        </w:rPr>
      </w:pPr>
      <w:r>
        <w:rPr>
          <w:b/>
          <w:color w:val="FF0000"/>
          <w:u w:val="single"/>
        </w:rPr>
        <w:t>Osnova:</w:t>
      </w:r>
    </w:p>
    <w:p w:rsidR="00287B1D" w:rsidRDefault="00BB6CB9">
      <w:pPr>
        <w:pStyle w:val="Odstavecseseznamem"/>
        <w:numPr>
          <w:ilvl w:val="0"/>
          <w:numId w:val="18"/>
        </w:numPr>
        <w:ind w:right="284"/>
        <w:rPr>
          <w:sz w:val="18"/>
          <w:szCs w:val="18"/>
        </w:rPr>
      </w:pPr>
      <w:r>
        <w:rPr>
          <w:sz w:val="18"/>
          <w:szCs w:val="18"/>
        </w:rPr>
        <w:t xml:space="preserve">Popis nátoku surové vody do MF předfiltrů a jejich kombinace formou výměnných balíčků; </w:t>
      </w:r>
      <w:proofErr w:type="gramStart"/>
      <w:r>
        <w:rPr>
          <w:sz w:val="18"/>
          <w:szCs w:val="18"/>
        </w:rPr>
        <w:t>str.2, 3</w:t>
      </w:r>
      <w:proofErr w:type="gramEnd"/>
    </w:p>
    <w:p w:rsidR="00287B1D" w:rsidRDefault="00BB6CB9">
      <w:pPr>
        <w:pStyle w:val="Odstavecseseznamem"/>
        <w:numPr>
          <w:ilvl w:val="0"/>
          <w:numId w:val="18"/>
        </w:numPr>
        <w:ind w:right="284"/>
        <w:rPr>
          <w:sz w:val="18"/>
          <w:szCs w:val="18"/>
        </w:rPr>
      </w:pPr>
      <w:r>
        <w:rPr>
          <w:sz w:val="18"/>
          <w:szCs w:val="18"/>
        </w:rPr>
        <w:t xml:space="preserve">Popis funkce separačních a sedimentačních UF/NF(+) modulů; </w:t>
      </w:r>
      <w:proofErr w:type="gramStart"/>
      <w:r>
        <w:rPr>
          <w:sz w:val="18"/>
          <w:szCs w:val="18"/>
        </w:rPr>
        <w:t>str.3</w:t>
      </w:r>
      <w:proofErr w:type="gramEnd"/>
    </w:p>
    <w:p w:rsidR="00287B1D" w:rsidRDefault="00BB6CB9">
      <w:pPr>
        <w:pStyle w:val="Odstavecseseznamem"/>
        <w:numPr>
          <w:ilvl w:val="0"/>
          <w:numId w:val="18"/>
        </w:numPr>
        <w:ind w:right="284"/>
        <w:rPr>
          <w:sz w:val="18"/>
          <w:szCs w:val="18"/>
        </w:rPr>
      </w:pPr>
      <w:r>
        <w:rPr>
          <w:sz w:val="18"/>
          <w:szCs w:val="18"/>
        </w:rPr>
        <w:t xml:space="preserve">Popis funkce poměrového ventilu a iontové optimalizace; </w:t>
      </w:r>
      <w:proofErr w:type="gramStart"/>
      <w:r>
        <w:rPr>
          <w:sz w:val="18"/>
          <w:szCs w:val="18"/>
        </w:rPr>
        <w:t>str.3, 4</w:t>
      </w:r>
      <w:proofErr w:type="gramEnd"/>
    </w:p>
    <w:p w:rsidR="00287B1D" w:rsidRDefault="00BB6CB9">
      <w:pPr>
        <w:pStyle w:val="Odstavecseseznamem"/>
        <w:numPr>
          <w:ilvl w:val="0"/>
          <w:numId w:val="18"/>
        </w:numPr>
        <w:ind w:right="284"/>
        <w:rPr>
          <w:sz w:val="18"/>
          <w:szCs w:val="18"/>
        </w:rPr>
      </w:pPr>
      <w:r>
        <w:rPr>
          <w:sz w:val="18"/>
          <w:szCs w:val="18"/>
        </w:rPr>
        <w:t xml:space="preserve">Popis funkce podtlakové sací pumpy; </w:t>
      </w:r>
      <w:proofErr w:type="gramStart"/>
      <w:r>
        <w:rPr>
          <w:sz w:val="18"/>
          <w:szCs w:val="18"/>
        </w:rPr>
        <w:t>str.4, 5</w:t>
      </w:r>
      <w:proofErr w:type="gramEnd"/>
    </w:p>
    <w:p w:rsidR="00287B1D" w:rsidRDefault="00BB6CB9">
      <w:pPr>
        <w:pStyle w:val="Odstavecseseznamem"/>
        <w:numPr>
          <w:ilvl w:val="0"/>
          <w:numId w:val="18"/>
        </w:numPr>
        <w:ind w:right="284"/>
        <w:rPr>
          <w:sz w:val="18"/>
          <w:szCs w:val="18"/>
        </w:rPr>
      </w:pPr>
      <w:r>
        <w:rPr>
          <w:sz w:val="18"/>
          <w:szCs w:val="18"/>
        </w:rPr>
        <w:t xml:space="preserve">Popis funkce tlakového senzoru, solenoidů a FM1; </w:t>
      </w:r>
      <w:proofErr w:type="gramStart"/>
      <w:r>
        <w:rPr>
          <w:sz w:val="18"/>
          <w:szCs w:val="18"/>
        </w:rPr>
        <w:t>str.2, 3, 5, 6, 7, 8, 11</w:t>
      </w:r>
      <w:proofErr w:type="gramEnd"/>
      <w:r>
        <w:rPr>
          <w:sz w:val="18"/>
          <w:szCs w:val="18"/>
        </w:rPr>
        <w:t xml:space="preserve">, 12,  </w:t>
      </w:r>
    </w:p>
    <w:p w:rsidR="00287B1D" w:rsidRDefault="00BB6CB9">
      <w:pPr>
        <w:pStyle w:val="Odstavecseseznamem"/>
        <w:numPr>
          <w:ilvl w:val="0"/>
          <w:numId w:val="18"/>
        </w:numPr>
        <w:ind w:right="284"/>
        <w:rPr>
          <w:sz w:val="18"/>
          <w:szCs w:val="18"/>
        </w:rPr>
      </w:pPr>
      <w:r>
        <w:rPr>
          <w:sz w:val="18"/>
          <w:szCs w:val="18"/>
        </w:rPr>
        <w:t xml:space="preserve">Popis funkce automatické regenerace vody v tlakové nádrži; </w:t>
      </w:r>
      <w:proofErr w:type="gramStart"/>
      <w:r>
        <w:rPr>
          <w:sz w:val="18"/>
          <w:szCs w:val="18"/>
        </w:rPr>
        <w:t>str.5, 6</w:t>
      </w:r>
      <w:proofErr w:type="gramEnd"/>
    </w:p>
    <w:p w:rsidR="00287B1D" w:rsidRDefault="00BB6CB9">
      <w:pPr>
        <w:pStyle w:val="Odstavecseseznamem"/>
        <w:numPr>
          <w:ilvl w:val="0"/>
          <w:numId w:val="18"/>
        </w:numPr>
        <w:ind w:right="284"/>
        <w:rPr>
          <w:sz w:val="18"/>
          <w:szCs w:val="18"/>
        </w:rPr>
      </w:pPr>
      <w:r>
        <w:rPr>
          <w:sz w:val="18"/>
          <w:szCs w:val="18"/>
        </w:rPr>
        <w:t xml:space="preserve">Popis funkce magnetického energo aktivátoru; </w:t>
      </w:r>
      <w:proofErr w:type="gramStart"/>
      <w:r>
        <w:rPr>
          <w:sz w:val="18"/>
          <w:szCs w:val="18"/>
        </w:rPr>
        <w:t>str.6</w:t>
      </w:r>
      <w:proofErr w:type="gramEnd"/>
    </w:p>
    <w:p w:rsidR="00287B1D" w:rsidRDefault="00BB6CB9">
      <w:pPr>
        <w:pStyle w:val="Odstavecseseznamem"/>
        <w:numPr>
          <w:ilvl w:val="0"/>
          <w:numId w:val="18"/>
        </w:numPr>
        <w:ind w:right="284"/>
        <w:rPr>
          <w:sz w:val="18"/>
          <w:szCs w:val="18"/>
        </w:rPr>
      </w:pPr>
      <w:r>
        <w:rPr>
          <w:sz w:val="18"/>
          <w:szCs w:val="18"/>
        </w:rPr>
        <w:t xml:space="preserve">Popis funkce regulátoru tlaku a SW v RDM_2b; </w:t>
      </w:r>
      <w:proofErr w:type="gramStart"/>
      <w:r>
        <w:rPr>
          <w:sz w:val="18"/>
          <w:szCs w:val="18"/>
        </w:rPr>
        <w:t>str.3, 5, 6, 7, 8, 10</w:t>
      </w:r>
      <w:proofErr w:type="gramEnd"/>
      <w:r>
        <w:rPr>
          <w:sz w:val="18"/>
          <w:szCs w:val="18"/>
        </w:rPr>
        <w:t xml:space="preserve">, 11, 12,  </w:t>
      </w:r>
    </w:p>
    <w:p w:rsidR="00287B1D" w:rsidRDefault="00BB6CB9">
      <w:pPr>
        <w:pStyle w:val="Odstavecseseznamem"/>
        <w:numPr>
          <w:ilvl w:val="0"/>
          <w:numId w:val="18"/>
        </w:numPr>
        <w:ind w:right="284"/>
        <w:rPr>
          <w:sz w:val="18"/>
          <w:szCs w:val="18"/>
        </w:rPr>
      </w:pPr>
      <w:r>
        <w:rPr>
          <w:sz w:val="18"/>
          <w:szCs w:val="18"/>
        </w:rPr>
        <w:t xml:space="preserve">Popis funkce elektrických komponent; </w:t>
      </w:r>
      <w:proofErr w:type="gramStart"/>
      <w:r>
        <w:rPr>
          <w:sz w:val="18"/>
          <w:szCs w:val="18"/>
        </w:rPr>
        <w:t>str.8</w:t>
      </w:r>
      <w:proofErr w:type="gramEnd"/>
    </w:p>
    <w:p w:rsidR="00287B1D" w:rsidRDefault="00BB6CB9">
      <w:pPr>
        <w:pStyle w:val="Odstavecseseznamem"/>
        <w:numPr>
          <w:ilvl w:val="0"/>
          <w:numId w:val="18"/>
        </w:numPr>
        <w:ind w:right="284"/>
        <w:rPr>
          <w:sz w:val="18"/>
          <w:szCs w:val="18"/>
        </w:rPr>
      </w:pPr>
      <w:r>
        <w:rPr>
          <w:sz w:val="18"/>
          <w:szCs w:val="18"/>
        </w:rPr>
        <w:t xml:space="preserve">Popis funkce UV-C LED; </w:t>
      </w:r>
      <w:proofErr w:type="gramStart"/>
      <w:r>
        <w:rPr>
          <w:sz w:val="18"/>
          <w:szCs w:val="18"/>
        </w:rPr>
        <w:t>str.6, 7, 8, 9, 11</w:t>
      </w:r>
      <w:proofErr w:type="gramEnd"/>
      <w:r>
        <w:rPr>
          <w:sz w:val="18"/>
          <w:szCs w:val="18"/>
        </w:rPr>
        <w:t xml:space="preserve">, 12,  </w:t>
      </w:r>
    </w:p>
    <w:p w:rsidR="00287B1D" w:rsidRDefault="00BB6CB9">
      <w:pPr>
        <w:pStyle w:val="Odstavecseseznamem"/>
        <w:numPr>
          <w:ilvl w:val="0"/>
          <w:numId w:val="18"/>
        </w:numPr>
        <w:ind w:right="284"/>
        <w:rPr>
          <w:sz w:val="18"/>
          <w:szCs w:val="18"/>
        </w:rPr>
      </w:pPr>
      <w:r>
        <w:rPr>
          <w:sz w:val="18"/>
          <w:szCs w:val="18"/>
        </w:rPr>
        <w:t xml:space="preserve">Popis </w:t>
      </w:r>
      <w:proofErr w:type="gramStart"/>
      <w:r>
        <w:rPr>
          <w:sz w:val="18"/>
          <w:szCs w:val="18"/>
        </w:rPr>
        <w:t>postupu  desinfekce</w:t>
      </w:r>
      <w:proofErr w:type="gramEnd"/>
      <w:r>
        <w:rPr>
          <w:sz w:val="18"/>
          <w:szCs w:val="18"/>
        </w:rPr>
        <w:t xml:space="preserve"> odběrného  kohoutku; </w:t>
      </w:r>
      <w:proofErr w:type="gramStart"/>
      <w:r>
        <w:rPr>
          <w:sz w:val="18"/>
          <w:szCs w:val="18"/>
        </w:rPr>
        <w:t>str.9</w:t>
      </w:r>
      <w:proofErr w:type="gramEnd"/>
    </w:p>
    <w:p w:rsidR="00287B1D" w:rsidRDefault="00BB6CB9">
      <w:pPr>
        <w:pStyle w:val="Odstavecseseznamem"/>
        <w:numPr>
          <w:ilvl w:val="0"/>
          <w:numId w:val="18"/>
        </w:numPr>
        <w:spacing w:after="0"/>
        <w:ind w:right="284"/>
        <w:rPr>
          <w:sz w:val="18"/>
          <w:szCs w:val="18"/>
        </w:rPr>
      </w:pPr>
      <w:r>
        <w:rPr>
          <w:sz w:val="18"/>
          <w:szCs w:val="18"/>
        </w:rPr>
        <w:t xml:space="preserve">Popis funkce RGB_LED_2modulu a FM2, FM3; </w:t>
      </w:r>
      <w:proofErr w:type="gramStart"/>
      <w:r>
        <w:rPr>
          <w:sz w:val="18"/>
          <w:szCs w:val="18"/>
        </w:rPr>
        <w:t>str.3, 6, 7, 8, 10</w:t>
      </w:r>
      <w:proofErr w:type="gramEnd"/>
      <w:r>
        <w:rPr>
          <w:sz w:val="18"/>
          <w:szCs w:val="18"/>
        </w:rPr>
        <w:t>, 11, 12</w:t>
      </w:r>
    </w:p>
    <w:p w:rsidR="00287B1D" w:rsidRDefault="00BB6CB9">
      <w:pPr>
        <w:pStyle w:val="Odstavecseseznamem"/>
        <w:numPr>
          <w:ilvl w:val="0"/>
          <w:numId w:val="18"/>
        </w:numPr>
        <w:ind w:right="284"/>
        <w:rPr>
          <w:sz w:val="18"/>
          <w:szCs w:val="18"/>
        </w:rPr>
      </w:pPr>
      <w:r>
        <w:rPr>
          <w:sz w:val="18"/>
          <w:szCs w:val="18"/>
        </w:rPr>
        <w:t xml:space="preserve">Popis funkce RDM_1,2,2b - vzdálená diagnostika a údržba; </w:t>
      </w:r>
      <w:proofErr w:type="gramStart"/>
      <w:r>
        <w:rPr>
          <w:sz w:val="18"/>
          <w:szCs w:val="18"/>
        </w:rPr>
        <w:t>str.3, 5, 7, 8, 10</w:t>
      </w:r>
      <w:proofErr w:type="gramEnd"/>
      <w:r>
        <w:rPr>
          <w:sz w:val="18"/>
          <w:szCs w:val="18"/>
        </w:rPr>
        <w:t xml:space="preserve">, 11, 12  </w:t>
      </w:r>
    </w:p>
    <w:p w:rsidR="00287B1D" w:rsidRDefault="00BB6CB9">
      <w:pPr>
        <w:pStyle w:val="Odstavecseseznamem"/>
        <w:numPr>
          <w:ilvl w:val="0"/>
          <w:numId w:val="18"/>
        </w:numPr>
        <w:ind w:right="284"/>
        <w:rPr>
          <w:sz w:val="18"/>
          <w:szCs w:val="18"/>
        </w:rPr>
      </w:pPr>
      <w:r>
        <w:rPr>
          <w:sz w:val="18"/>
          <w:szCs w:val="18"/>
        </w:rPr>
        <w:t xml:space="preserve">Popis funkce </w:t>
      </w:r>
      <w:proofErr w:type="gramStart"/>
      <w:r>
        <w:rPr>
          <w:sz w:val="18"/>
          <w:szCs w:val="18"/>
        </w:rPr>
        <w:t>poruchových  a provozních</w:t>
      </w:r>
      <w:proofErr w:type="gramEnd"/>
      <w:r>
        <w:rPr>
          <w:sz w:val="18"/>
          <w:szCs w:val="18"/>
        </w:rPr>
        <w:t xml:space="preserve"> stavů u RGB LED; </w:t>
      </w:r>
      <w:proofErr w:type="gramStart"/>
      <w:r>
        <w:rPr>
          <w:sz w:val="18"/>
          <w:szCs w:val="18"/>
        </w:rPr>
        <w:t>str.11</w:t>
      </w:r>
      <w:proofErr w:type="gramEnd"/>
      <w:r>
        <w:rPr>
          <w:sz w:val="18"/>
          <w:szCs w:val="18"/>
        </w:rPr>
        <w:t>, 12</w:t>
      </w:r>
    </w:p>
    <w:p w:rsidR="00287B1D" w:rsidRDefault="00BB6CB9">
      <w:pPr>
        <w:pStyle w:val="Odstavecseseznamem"/>
        <w:numPr>
          <w:ilvl w:val="0"/>
          <w:numId w:val="18"/>
        </w:numPr>
        <w:ind w:right="284"/>
        <w:rPr>
          <w:sz w:val="18"/>
          <w:szCs w:val="18"/>
        </w:rPr>
      </w:pPr>
      <w:proofErr w:type="gramStart"/>
      <w:r>
        <w:rPr>
          <w:sz w:val="18"/>
          <w:szCs w:val="18"/>
        </w:rPr>
        <w:t>Popis  postupu</w:t>
      </w:r>
      <w:proofErr w:type="gramEnd"/>
      <w:r>
        <w:rPr>
          <w:sz w:val="18"/>
          <w:szCs w:val="18"/>
        </w:rPr>
        <w:t xml:space="preserve"> při desinfekci filtrační technologie; </w:t>
      </w:r>
      <w:proofErr w:type="gramStart"/>
      <w:r>
        <w:rPr>
          <w:sz w:val="18"/>
          <w:szCs w:val="18"/>
        </w:rPr>
        <w:t>str.13</w:t>
      </w:r>
      <w:proofErr w:type="gramEnd"/>
      <w:r>
        <w:rPr>
          <w:sz w:val="18"/>
          <w:szCs w:val="18"/>
        </w:rPr>
        <w:t>, 14, 15</w:t>
      </w:r>
    </w:p>
    <w:p w:rsidR="00287B1D" w:rsidRDefault="00BB6CB9">
      <w:pPr>
        <w:pStyle w:val="Odstavecseseznamem"/>
        <w:numPr>
          <w:ilvl w:val="0"/>
          <w:numId w:val="18"/>
        </w:numPr>
        <w:ind w:right="284"/>
        <w:rPr>
          <w:sz w:val="18"/>
          <w:szCs w:val="18"/>
        </w:rPr>
      </w:pPr>
      <w:r>
        <w:rPr>
          <w:sz w:val="18"/>
          <w:szCs w:val="18"/>
        </w:rPr>
        <w:t xml:space="preserve">Popis funkce servisního desinfekčního modulu SDM; </w:t>
      </w:r>
      <w:proofErr w:type="gramStart"/>
      <w:r>
        <w:rPr>
          <w:sz w:val="18"/>
          <w:szCs w:val="18"/>
        </w:rPr>
        <w:t>str.16</w:t>
      </w:r>
      <w:proofErr w:type="gramEnd"/>
      <w:r>
        <w:rPr>
          <w:sz w:val="18"/>
          <w:szCs w:val="18"/>
        </w:rPr>
        <w:t>, 17</w:t>
      </w:r>
    </w:p>
    <w:p w:rsidR="00287B1D" w:rsidRDefault="00BB6CB9">
      <w:pPr>
        <w:pStyle w:val="Odstavecseseznamem"/>
        <w:numPr>
          <w:ilvl w:val="0"/>
          <w:numId w:val="18"/>
        </w:numPr>
        <w:ind w:right="284"/>
        <w:rPr>
          <w:sz w:val="18"/>
          <w:szCs w:val="18"/>
        </w:rPr>
      </w:pPr>
      <w:r>
        <w:rPr>
          <w:sz w:val="18"/>
          <w:szCs w:val="18"/>
        </w:rPr>
        <w:t xml:space="preserve">Popis postupu </w:t>
      </w:r>
      <w:proofErr w:type="gramStart"/>
      <w:r>
        <w:rPr>
          <w:sz w:val="18"/>
          <w:szCs w:val="18"/>
        </w:rPr>
        <w:t>desinfekce  u suché</w:t>
      </w:r>
      <w:proofErr w:type="gramEnd"/>
      <w:r>
        <w:rPr>
          <w:sz w:val="18"/>
          <w:szCs w:val="18"/>
        </w:rPr>
        <w:t xml:space="preserve"> a mokré technologie a pozn.; </w:t>
      </w:r>
      <w:proofErr w:type="gramStart"/>
      <w:r>
        <w:rPr>
          <w:sz w:val="18"/>
          <w:szCs w:val="18"/>
        </w:rPr>
        <w:t>str.2, 3, 7, 9, 13</w:t>
      </w:r>
      <w:proofErr w:type="gramEnd"/>
      <w:r>
        <w:rPr>
          <w:sz w:val="18"/>
          <w:szCs w:val="18"/>
        </w:rPr>
        <w:t>, 15, 16, 17, 18, 19, 20</w:t>
      </w:r>
    </w:p>
    <w:p w:rsidR="00287B1D" w:rsidRDefault="00BB6CB9">
      <w:pPr>
        <w:pStyle w:val="Odstavecseseznamem"/>
        <w:numPr>
          <w:ilvl w:val="0"/>
          <w:numId w:val="18"/>
        </w:numPr>
        <w:ind w:right="284"/>
        <w:rPr>
          <w:sz w:val="18"/>
          <w:szCs w:val="18"/>
        </w:rPr>
      </w:pPr>
      <w:r>
        <w:rPr>
          <w:sz w:val="18"/>
          <w:szCs w:val="18"/>
        </w:rPr>
        <w:t xml:space="preserve">Poznámky, upozornění, sdělení, ©, ochrana díla, autorské právo, odkaz na VORP; </w:t>
      </w:r>
      <w:proofErr w:type="gramStart"/>
      <w:r>
        <w:rPr>
          <w:sz w:val="18"/>
          <w:szCs w:val="18"/>
        </w:rPr>
        <w:t>str.21</w:t>
      </w:r>
      <w:proofErr w:type="gramEnd"/>
      <w:r>
        <w:rPr>
          <w:sz w:val="18"/>
          <w:szCs w:val="18"/>
        </w:rPr>
        <w:t xml:space="preserve">, </w:t>
      </w:r>
    </w:p>
    <w:p w:rsidR="00287B1D" w:rsidRDefault="00BB6CB9">
      <w:pPr>
        <w:pStyle w:val="Odstavecseseznamem"/>
        <w:numPr>
          <w:ilvl w:val="0"/>
          <w:numId w:val="18"/>
        </w:numPr>
        <w:ind w:right="284"/>
        <w:rPr>
          <w:sz w:val="18"/>
          <w:szCs w:val="18"/>
        </w:rPr>
      </w:pPr>
      <w:r>
        <w:rPr>
          <w:sz w:val="18"/>
          <w:szCs w:val="18"/>
        </w:rPr>
        <w:t xml:space="preserve">Tematické přílohy s fotografiemi, grafy a tabulkami, popisy desinfekce  pomocí UVC-LED, přehled bakterií, virů, poliovirů, sporů, endospor, kok, kokcidií, plísní, parazitů, prvoků,  hub, fágů, řas. </w:t>
      </w:r>
      <w:proofErr w:type="gramStart"/>
      <w:r>
        <w:rPr>
          <w:sz w:val="18"/>
          <w:szCs w:val="18"/>
        </w:rPr>
        <w:t>sinic</w:t>
      </w:r>
      <w:proofErr w:type="gramEnd"/>
      <w:r>
        <w:rPr>
          <w:sz w:val="18"/>
          <w:szCs w:val="18"/>
        </w:rPr>
        <w:t xml:space="preserve">,  měřící metody a pomůcky, kapacity náplní, koncentrace látek,  vybavení modelů, tabulka náhradních dílů,  poznámky, ©; </w:t>
      </w:r>
      <w:proofErr w:type="gramStart"/>
      <w:r>
        <w:rPr>
          <w:sz w:val="18"/>
          <w:szCs w:val="18"/>
        </w:rPr>
        <w:t>str.23</w:t>
      </w:r>
      <w:proofErr w:type="gramEnd"/>
      <w:r>
        <w:rPr>
          <w:sz w:val="18"/>
          <w:szCs w:val="18"/>
        </w:rPr>
        <w:t xml:space="preserve"> až 50</w:t>
      </w:r>
    </w:p>
    <w:p w:rsidR="00287B1D" w:rsidRDefault="00287B1D">
      <w:pPr>
        <w:pStyle w:val="Odstavecseseznamem"/>
        <w:ind w:left="-207" w:right="284"/>
      </w:pPr>
    </w:p>
    <w:p w:rsidR="00287B1D" w:rsidRDefault="00287B1D">
      <w:pPr>
        <w:pStyle w:val="Odstavecseseznamem"/>
        <w:ind w:left="-207" w:right="284"/>
      </w:pPr>
    </w:p>
    <w:p w:rsidR="00287B1D" w:rsidRDefault="00287B1D">
      <w:pPr>
        <w:pStyle w:val="Odstavecseseznamem"/>
        <w:ind w:left="-207" w:right="284"/>
      </w:pPr>
    </w:p>
    <w:p w:rsidR="00287B1D" w:rsidRDefault="00287B1D">
      <w:pPr>
        <w:pStyle w:val="Odstavecseseznamem"/>
        <w:ind w:left="-207" w:right="284"/>
      </w:pPr>
    </w:p>
    <w:p w:rsidR="00287B1D" w:rsidRDefault="00BB6CB9">
      <w:pPr>
        <w:pStyle w:val="Odstavecseseznamem"/>
        <w:ind w:left="-567" w:right="284"/>
        <w:jc w:val="center"/>
        <w:rPr>
          <w:b/>
          <w:i/>
          <w:color w:val="FF0000"/>
          <w:sz w:val="20"/>
          <w:szCs w:val="20"/>
          <w:u w:val="single"/>
        </w:rPr>
      </w:pPr>
      <w:r>
        <w:rPr>
          <w:b/>
          <w:i/>
          <w:color w:val="FF0000"/>
          <w:sz w:val="20"/>
          <w:szCs w:val="20"/>
          <w:u w:val="single"/>
        </w:rPr>
        <w:lastRenderedPageBreak/>
        <w:t>ad 1) Popis nátoku surové vody do MF předfiltrů a jejich kombinace formou výměnných balíčků</w:t>
      </w:r>
    </w:p>
    <w:p w:rsidR="00287B1D" w:rsidRDefault="00BB6CB9">
      <w:pPr>
        <w:ind w:left="-567" w:right="284" w:firstLine="708"/>
        <w:jc w:val="both"/>
      </w:pPr>
      <w:r>
        <w:rPr>
          <w:noProof/>
          <w:lang w:eastAsia="cs-CZ"/>
        </w:rPr>
        <w:drawing>
          <wp:anchor distT="0" distB="0" distL="0" distR="0" simplePos="0" relativeHeight="72" behindDoc="1" locked="0" layoutInCell="1" allowOverlap="1">
            <wp:simplePos x="0" y="0"/>
            <wp:positionH relativeFrom="column">
              <wp:posOffset>89535</wp:posOffset>
            </wp:positionH>
            <wp:positionV relativeFrom="paragraph">
              <wp:posOffset>2071370</wp:posOffset>
            </wp:positionV>
            <wp:extent cx="3172460" cy="2057400"/>
            <wp:effectExtent l="0" t="0" r="0" b="0"/>
            <wp:wrapNone/>
            <wp:docPr id="2" name="Obrázek 57" descr="C:\Users\VTI\Documents\VTI\Manuál - Popis technologie\Označení jednotlivých komponent a vizualizae zbývající životnosti dílů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57" descr="C:\Users\VTI\Documents\VTI\Manuál - Popis technologie\Označení jednotlivých komponent a vizualizae zbývající životnosti dílů 3.0.png"/>
                    <pic:cNvPicPr>
                      <a:picLocks noChangeAspect="1" noChangeArrowheads="1"/>
                    </pic:cNvPicPr>
                  </pic:nvPicPr>
                  <pic:blipFill>
                    <a:blip r:embed="rId10"/>
                    <a:stretch>
                      <a:fillRect/>
                    </a:stretch>
                  </pic:blipFill>
                  <pic:spPr bwMode="auto">
                    <a:xfrm>
                      <a:off x="0" y="0"/>
                      <a:ext cx="3172460" cy="2057400"/>
                    </a:xfrm>
                    <a:prstGeom prst="rect">
                      <a:avLst/>
                    </a:prstGeom>
                  </pic:spPr>
                </pic:pic>
              </a:graphicData>
            </a:graphic>
          </wp:anchor>
        </w:drawing>
      </w:r>
      <w:r>
        <w:rPr>
          <w:noProof/>
          <w:lang w:eastAsia="cs-CZ"/>
        </w:rPr>
        <w:drawing>
          <wp:anchor distT="0" distB="0" distL="0" distR="0" simplePos="0" relativeHeight="73" behindDoc="0" locked="0" layoutInCell="1" allowOverlap="1">
            <wp:simplePos x="0" y="0"/>
            <wp:positionH relativeFrom="column">
              <wp:posOffset>3621405</wp:posOffset>
            </wp:positionH>
            <wp:positionV relativeFrom="paragraph">
              <wp:posOffset>2071370</wp:posOffset>
            </wp:positionV>
            <wp:extent cx="2042795" cy="2060575"/>
            <wp:effectExtent l="0" t="0" r="0" b="0"/>
            <wp:wrapNone/>
            <wp:docPr id="3" name="Obrázek 112" descr="C:\Users\VTI\Documents\VTI\Manuál - Popis technologie\Označení jednotlivých komponent a vizualizae zbývající životnosti dílů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112" descr="C:\Users\VTI\Documents\VTI\Manuál - Popis technologie\Označení jednotlivých komponent a vizualizae zbývající životnosti dílů 2.png"/>
                    <pic:cNvPicPr>
                      <a:picLocks noChangeAspect="1" noChangeArrowheads="1"/>
                    </pic:cNvPicPr>
                  </pic:nvPicPr>
                  <pic:blipFill>
                    <a:blip r:embed="rId11"/>
                    <a:stretch>
                      <a:fillRect/>
                    </a:stretch>
                  </pic:blipFill>
                  <pic:spPr bwMode="auto">
                    <a:xfrm>
                      <a:off x="0" y="0"/>
                      <a:ext cx="2042795" cy="2060575"/>
                    </a:xfrm>
                    <a:prstGeom prst="rect">
                      <a:avLst/>
                    </a:prstGeom>
                  </pic:spPr>
                </pic:pic>
              </a:graphicData>
            </a:graphic>
          </wp:anchor>
        </w:drawing>
      </w:r>
      <w:r>
        <w:rPr>
          <w:lang w:eastAsia="cs-CZ"/>
        </w:rPr>
        <w:t xml:space="preserve"> </w:t>
      </w:r>
      <w:r>
        <w:t xml:space="preserve">Surová voda z veřejného vodovodního řádu o tlaku od </w:t>
      </w:r>
      <w:r>
        <w:rPr>
          <w:b/>
        </w:rPr>
        <w:t>2</w:t>
      </w:r>
      <w:r>
        <w:t xml:space="preserve"> do </w:t>
      </w:r>
      <w:r>
        <w:rPr>
          <w:b/>
        </w:rPr>
        <w:t xml:space="preserve">6 </w:t>
      </w:r>
      <w:r>
        <w:t xml:space="preserve">bar (30 ~ 100 Psi), přichází přes </w:t>
      </w:r>
      <w:r>
        <w:rPr>
          <w:b/>
        </w:rPr>
        <w:t xml:space="preserve">½“ </w:t>
      </w:r>
      <w:r>
        <w:t xml:space="preserve">uzavírací ventil, redukovaný na </w:t>
      </w:r>
      <w:r>
        <w:rPr>
          <w:b/>
        </w:rPr>
        <w:t>3/8“</w:t>
      </w:r>
      <w:r>
        <w:t xml:space="preserve"> se  </w:t>
      </w:r>
      <w:r>
        <w:rPr>
          <w:b/>
        </w:rPr>
        <w:t>¼“</w:t>
      </w:r>
      <w:r>
        <w:t xml:space="preserve"> kohoutkovým vývodem pro </w:t>
      </w:r>
      <w:proofErr w:type="gramStart"/>
      <w:r>
        <w:rPr>
          <w:i/>
          <w:color w:val="FFFFFF" w:themeColor="background1"/>
          <w:highlight w:val="red"/>
        </w:rPr>
        <w:t>červenou  plastovou</w:t>
      </w:r>
      <w:proofErr w:type="gramEnd"/>
      <w:r>
        <w:rPr>
          <w:i/>
          <w:color w:val="FFFFFF" w:themeColor="background1"/>
          <w:highlight w:val="red"/>
        </w:rPr>
        <w:t xml:space="preserve">  hadičku</w:t>
      </w:r>
      <w:r>
        <w:t xml:space="preserve">, která se zapojuje do plastové průchodky </w:t>
      </w:r>
      <w:r>
        <w:rPr>
          <w:b/>
        </w:rPr>
        <w:t>¼“</w:t>
      </w:r>
      <w:r>
        <w:t xml:space="preserve"> </w:t>
      </w:r>
      <w:r>
        <w:rPr>
          <w:b/>
        </w:rPr>
        <w:t>QC</w:t>
      </w:r>
      <w:r>
        <w:t xml:space="preserve"> (Quick Connect) na boku nerezového rámu. Za rychlospojkou je  </w:t>
      </w:r>
      <w:r>
        <w:rPr>
          <w:b/>
        </w:rPr>
        <w:t>¼“</w:t>
      </w:r>
      <w:r>
        <w:t xml:space="preserve"> </w:t>
      </w:r>
      <w:r>
        <w:rPr>
          <w:color w:val="FFFFFF" w:themeColor="background1"/>
          <w:highlight w:val="blue"/>
        </w:rPr>
        <w:t>modrobílý</w:t>
      </w:r>
      <w:r>
        <w:rPr>
          <w:color w:val="FFFFFF" w:themeColor="background1"/>
        </w:rPr>
        <w:t xml:space="preserve"> </w:t>
      </w:r>
      <w:r>
        <w:t xml:space="preserve">servisní ventil </w:t>
      </w:r>
      <w:r>
        <w:rPr>
          <w:b/>
        </w:rPr>
        <w:t>A4</w:t>
      </w:r>
      <w:r>
        <w:t xml:space="preserve">. Ze servisního ventilu pokračuje voda do prvního obalu filtru </w:t>
      </w:r>
      <w:r>
        <w:rPr>
          <w:b/>
        </w:rPr>
        <w:t>A1</w:t>
      </w:r>
      <w:r>
        <w:t xml:space="preserve">, kde se vkládá podle typu použití </w:t>
      </w:r>
      <w:r>
        <w:rPr>
          <w:color w:val="6600CC"/>
        </w:rPr>
        <w:t>(</w:t>
      </w:r>
      <w:r>
        <w:rPr>
          <w:i/>
          <w:color w:val="6600CC"/>
        </w:rPr>
        <w:t xml:space="preserve">arzenový sorbér, změkčovací ionex nebo motaný filtr 50 </w:t>
      </w:r>
      <w:proofErr w:type="gramStart"/>
      <w:r>
        <w:rPr>
          <w:i/>
          <w:color w:val="6600CC"/>
        </w:rPr>
        <w:t>mic...</w:t>
      </w:r>
      <w:r>
        <w:rPr>
          <w:color w:val="6600CC"/>
        </w:rPr>
        <w:t>)*</w:t>
      </w:r>
      <w:r>
        <w:t>, s definovanou</w:t>
      </w:r>
      <w:proofErr w:type="gramEnd"/>
      <w:r>
        <w:t xml:space="preserve"> životností </w:t>
      </w:r>
      <w:r>
        <w:rPr>
          <w:b/>
        </w:rPr>
        <w:t>7 500</w:t>
      </w:r>
      <w:r>
        <w:t xml:space="preserve"> litrů</w:t>
      </w:r>
      <w:r>
        <w:rPr>
          <w:sz w:val="16"/>
          <w:szCs w:val="16"/>
          <w:vertAlign w:val="subscript"/>
        </w:rPr>
        <w:t>1)</w:t>
      </w:r>
      <w:r>
        <w:t xml:space="preserve">. Voda dále natéká do druhého obalu filtru </w:t>
      </w:r>
      <w:r>
        <w:rPr>
          <w:b/>
        </w:rPr>
        <w:t>A2</w:t>
      </w:r>
      <w:r>
        <w:t xml:space="preserve">, do kterého se alternativně vkládá </w:t>
      </w:r>
      <w:r>
        <w:rPr>
          <w:color w:val="6600CC"/>
        </w:rPr>
        <w:t>(</w:t>
      </w:r>
      <w:r>
        <w:rPr>
          <w:i/>
          <w:color w:val="6600CC"/>
        </w:rPr>
        <w:t xml:space="preserve">uhlíkový filtr pro likvidaci pachů, ztvrzování, odkyselování vody, nebo  motaný filtr 10 </w:t>
      </w:r>
      <w:proofErr w:type="gramStart"/>
      <w:r>
        <w:rPr>
          <w:i/>
          <w:color w:val="6600CC"/>
        </w:rPr>
        <w:t>mic...</w:t>
      </w:r>
      <w:r>
        <w:rPr>
          <w:color w:val="6600CC"/>
        </w:rPr>
        <w:t>)*,</w:t>
      </w:r>
      <w:r>
        <w:rPr>
          <w:color w:val="9933FF"/>
        </w:rPr>
        <w:t xml:space="preserve"> </w:t>
      </w:r>
      <w:r>
        <w:t>s definovanou</w:t>
      </w:r>
      <w:proofErr w:type="gramEnd"/>
      <w:r>
        <w:t xml:space="preserve"> životností  </w:t>
      </w:r>
      <w:r>
        <w:rPr>
          <w:b/>
        </w:rPr>
        <w:t xml:space="preserve">7 500 </w:t>
      </w:r>
      <w:r>
        <w:t>litrů nebo 6 měsíců</w:t>
      </w:r>
      <w:r>
        <w:rPr>
          <w:sz w:val="16"/>
          <w:szCs w:val="16"/>
          <w:vertAlign w:val="subscript"/>
        </w:rPr>
        <w:t>1)</w:t>
      </w:r>
      <w:r>
        <w:t>.</w:t>
      </w:r>
    </w:p>
    <w:p w:rsidR="00287B1D" w:rsidRDefault="00287B1D">
      <w:pPr>
        <w:ind w:left="-567" w:right="284" w:firstLine="708"/>
        <w:jc w:val="both"/>
      </w:pPr>
    </w:p>
    <w:p w:rsidR="00287B1D" w:rsidRDefault="00287B1D">
      <w:pPr>
        <w:ind w:left="-567" w:right="284" w:firstLine="708"/>
        <w:jc w:val="both"/>
      </w:pPr>
    </w:p>
    <w:p w:rsidR="00287B1D" w:rsidRDefault="00287B1D">
      <w:pPr>
        <w:ind w:left="-567" w:right="284" w:firstLine="708"/>
        <w:jc w:val="both"/>
      </w:pPr>
    </w:p>
    <w:p w:rsidR="00287B1D" w:rsidRDefault="00287B1D">
      <w:pPr>
        <w:ind w:left="-567" w:right="284" w:firstLine="708"/>
        <w:jc w:val="both"/>
      </w:pPr>
    </w:p>
    <w:p w:rsidR="00287B1D" w:rsidRDefault="00287B1D">
      <w:pPr>
        <w:ind w:left="-567" w:right="284" w:firstLine="708"/>
        <w:jc w:val="both"/>
      </w:pPr>
    </w:p>
    <w:p w:rsidR="00287B1D" w:rsidRDefault="00287B1D">
      <w:pPr>
        <w:ind w:left="-567" w:right="284" w:firstLine="708"/>
        <w:jc w:val="both"/>
      </w:pPr>
    </w:p>
    <w:p w:rsidR="00287B1D" w:rsidRDefault="00287B1D">
      <w:pPr>
        <w:ind w:right="284"/>
        <w:jc w:val="both"/>
      </w:pPr>
    </w:p>
    <w:p w:rsidR="00287B1D" w:rsidRDefault="00BB6CB9">
      <w:pPr>
        <w:ind w:left="-567" w:right="284" w:firstLine="567"/>
        <w:jc w:val="both"/>
        <w:rPr>
          <w:sz w:val="14"/>
          <w:szCs w:val="14"/>
        </w:rPr>
      </w:pPr>
      <w:r>
        <w:t xml:space="preserve">             </w:t>
      </w:r>
      <w:r>
        <w:rPr>
          <w:sz w:val="16"/>
          <w:szCs w:val="16"/>
        </w:rPr>
        <w:t xml:space="preserve">     </w:t>
      </w:r>
      <w:proofErr w:type="gramStart"/>
      <w:r>
        <w:rPr>
          <w:sz w:val="14"/>
          <w:szCs w:val="14"/>
        </w:rPr>
        <w:t>Obr.2 Obecné</w:t>
      </w:r>
      <w:proofErr w:type="gramEnd"/>
      <w:r>
        <w:rPr>
          <w:sz w:val="14"/>
          <w:szCs w:val="14"/>
        </w:rPr>
        <w:t xml:space="preserve"> označení jednotlivých komponent a vzor vizualizace zbývající životnosti dílů a náplní</w:t>
      </w:r>
    </w:p>
    <w:p w:rsidR="00287B1D" w:rsidRDefault="00BB6CB9">
      <w:pPr>
        <w:ind w:left="-567" w:right="284" w:firstLine="708"/>
        <w:jc w:val="both"/>
      </w:pPr>
      <w:r>
        <w:t xml:space="preserve">Voda dále natéká do třetího obalu filtru </w:t>
      </w:r>
      <w:r>
        <w:rPr>
          <w:b/>
        </w:rPr>
        <w:t>A3</w:t>
      </w:r>
      <w:r>
        <w:t xml:space="preserve">, do kterého se vkládá alternativně  </w:t>
      </w:r>
      <w:r>
        <w:rPr>
          <w:color w:val="6600CC"/>
        </w:rPr>
        <w:t>(</w:t>
      </w:r>
      <w:r>
        <w:rPr>
          <w:i/>
          <w:color w:val="6600CC"/>
        </w:rPr>
        <w:t xml:space="preserve">motaný filtr 5, 1 nebo 0,5 </w:t>
      </w:r>
      <w:proofErr w:type="gramStart"/>
      <w:r>
        <w:rPr>
          <w:i/>
          <w:color w:val="6600CC"/>
        </w:rPr>
        <w:t>mic...</w:t>
      </w:r>
      <w:r>
        <w:rPr>
          <w:color w:val="6600CC"/>
        </w:rPr>
        <w:t xml:space="preserve">)*, </w:t>
      </w:r>
      <w:r>
        <w:t>s definovanou</w:t>
      </w:r>
      <w:proofErr w:type="gramEnd"/>
      <w:r>
        <w:t xml:space="preserve"> životností  </w:t>
      </w:r>
      <w:r>
        <w:rPr>
          <w:b/>
        </w:rPr>
        <w:t>7 500</w:t>
      </w:r>
      <w:r>
        <w:t xml:space="preserve"> litrů</w:t>
      </w:r>
      <w:r>
        <w:rPr>
          <w:sz w:val="16"/>
          <w:szCs w:val="16"/>
          <w:vertAlign w:val="subscript"/>
        </w:rPr>
        <w:t>1)</w:t>
      </w:r>
      <w:r>
        <w:t xml:space="preserve">. Do tohoto třetího obalu a do </w:t>
      </w:r>
      <w:r>
        <w:rPr>
          <w:b/>
        </w:rPr>
        <w:t>B3</w:t>
      </w:r>
      <w:r>
        <w:t xml:space="preserve"> se před vložením příslušné vložky, při prvním použití nebo po servisním zásahu, nalévá desinfekční roztok Peroxidu vodíku </w:t>
      </w:r>
      <w:r>
        <w:rPr>
          <w:rFonts w:ascii="Arial" w:hAnsi="Arial" w:cs="Arial"/>
          <w:b/>
          <w:color w:val="202124"/>
          <w:sz w:val="21"/>
          <w:szCs w:val="21"/>
          <w:shd w:val="clear" w:color="auto" w:fill="FFFFFF"/>
        </w:rPr>
        <w:t>H</w:t>
      </w:r>
      <w:r>
        <w:rPr>
          <w:rFonts w:ascii="Arial" w:hAnsi="Arial" w:cs="Arial"/>
          <w:color w:val="202124"/>
          <w:shd w:val="clear" w:color="auto" w:fill="FFFFFF"/>
          <w:vertAlign w:val="subscript"/>
        </w:rPr>
        <w:t>2</w:t>
      </w:r>
      <w:r>
        <w:rPr>
          <w:rFonts w:ascii="Arial" w:hAnsi="Arial" w:cs="Arial"/>
          <w:b/>
          <w:color w:val="202124"/>
          <w:sz w:val="21"/>
          <w:szCs w:val="21"/>
          <w:shd w:val="clear" w:color="auto" w:fill="FFFFFF"/>
        </w:rPr>
        <w:t>O</w:t>
      </w:r>
      <w:r>
        <w:rPr>
          <w:rFonts w:ascii="Arial" w:hAnsi="Arial" w:cs="Arial"/>
          <w:color w:val="202124"/>
          <w:shd w:val="clear" w:color="auto" w:fill="FFFFFF"/>
          <w:vertAlign w:val="subscript"/>
        </w:rPr>
        <w:t xml:space="preserve">2  </w:t>
      </w:r>
      <w:r>
        <w:rPr>
          <w:b/>
        </w:rPr>
        <w:t>3</w:t>
      </w:r>
      <w:r>
        <w:t xml:space="preserve">%, alternativně Kyseliny citronové </w:t>
      </w:r>
      <w:r>
        <w:rPr>
          <w:b/>
        </w:rPr>
        <w:t>C</w:t>
      </w:r>
      <w:r>
        <w:rPr>
          <w:vertAlign w:val="subscript"/>
        </w:rPr>
        <w:t>6</w:t>
      </w:r>
      <w:r>
        <w:rPr>
          <w:b/>
        </w:rPr>
        <w:t>H</w:t>
      </w:r>
      <w:r>
        <w:rPr>
          <w:vertAlign w:val="subscript"/>
        </w:rPr>
        <w:t>8</w:t>
      </w:r>
      <w:r>
        <w:rPr>
          <w:b/>
        </w:rPr>
        <w:t>O</w:t>
      </w:r>
      <w:r>
        <w:rPr>
          <w:vertAlign w:val="subscript"/>
        </w:rPr>
        <w:t>7</w:t>
      </w:r>
      <w:r>
        <w:t xml:space="preserve"> – monohydrát </w:t>
      </w:r>
      <w:r>
        <w:rPr>
          <w:b/>
        </w:rPr>
        <w:t>99</w:t>
      </w:r>
      <w:r>
        <w:t>%, v </w:t>
      </w:r>
      <w:r>
        <w:rPr>
          <w:b/>
        </w:rPr>
        <w:t>5</w:t>
      </w:r>
      <w:r>
        <w:t>% koncentraci</w:t>
      </w:r>
      <w:r>
        <w:rPr>
          <w:vertAlign w:val="superscript"/>
        </w:rPr>
        <w:t>3)</w:t>
      </w:r>
      <w:r>
        <w:t xml:space="preserve">, která zajištuje prvotní desinfekci primárního okruhu spirálního modulu po zavodnění, resp. po prvním uvedení do provozu. Zde provádí výrobce/servis kontrolní měření kvality výstupní vody z primární části a to pomocí  </w:t>
      </w:r>
      <w:proofErr w:type="gramStart"/>
      <w:r>
        <w:t>měřícího přístroje</w:t>
      </w:r>
      <w:proofErr w:type="gramEnd"/>
      <w:r>
        <w:t xml:space="preserve"> – turbidimetru  Hach Lange  </w:t>
      </w:r>
      <w:r>
        <w:rPr>
          <w:b/>
        </w:rPr>
        <w:t>2100Q</w:t>
      </w:r>
      <w:r>
        <w:t>.</w:t>
      </w:r>
    </w:p>
    <w:p w:rsidR="00D9597F" w:rsidRPr="00D9597F" w:rsidRDefault="00BB6CB9" w:rsidP="00D9597F">
      <w:pPr>
        <w:shd w:val="clear" w:color="auto" w:fill="FFFFFF"/>
        <w:ind w:right="567"/>
        <w:jc w:val="both"/>
        <w:rPr>
          <w:sz w:val="12"/>
          <w:szCs w:val="12"/>
          <w:lang w:eastAsia="cs-CZ"/>
        </w:rPr>
      </w:pPr>
      <w:r>
        <w:rPr>
          <w:color w:val="9933FF"/>
          <w:sz w:val="12"/>
          <w:szCs w:val="12"/>
        </w:rPr>
        <w:t>*</w:t>
      </w:r>
      <w:r>
        <w:rPr>
          <w:color w:val="6600CC"/>
          <w:sz w:val="12"/>
          <w:szCs w:val="12"/>
        </w:rPr>
        <w:t xml:space="preserve">požadovanou konfiguraci je nutné uvést v objednávce dle příslušné variantní tabulky balíčků. Pokud není uvedeno jinak, dodává se ve standardu dle modelové řady </w:t>
      </w:r>
      <w:r>
        <w:rPr>
          <w:b/>
          <w:color w:val="6600CC"/>
          <w:sz w:val="12"/>
          <w:szCs w:val="12"/>
        </w:rPr>
        <w:t xml:space="preserve">Basic </w:t>
      </w:r>
      <w:r>
        <w:rPr>
          <w:color w:val="6600CC"/>
          <w:sz w:val="12"/>
          <w:szCs w:val="12"/>
        </w:rPr>
        <w:t>č.</w:t>
      </w:r>
      <w:r>
        <w:rPr>
          <w:color w:val="FF0000"/>
          <w:sz w:val="12"/>
          <w:szCs w:val="12"/>
        </w:rPr>
        <w:t>CP21-004</w:t>
      </w:r>
      <w:r>
        <w:rPr>
          <w:color w:val="6600CC"/>
          <w:sz w:val="12"/>
          <w:szCs w:val="12"/>
        </w:rPr>
        <w:t xml:space="preserve">; </w:t>
      </w:r>
      <w:r>
        <w:rPr>
          <w:b/>
          <w:color w:val="6600CC"/>
          <w:sz w:val="12"/>
          <w:szCs w:val="12"/>
        </w:rPr>
        <w:t>Standard</w:t>
      </w:r>
      <w:r>
        <w:rPr>
          <w:color w:val="6600CC"/>
          <w:sz w:val="12"/>
          <w:szCs w:val="12"/>
        </w:rPr>
        <w:t xml:space="preserve"> č.</w:t>
      </w:r>
      <w:r>
        <w:rPr>
          <w:color w:val="FF0000"/>
          <w:sz w:val="12"/>
          <w:szCs w:val="12"/>
        </w:rPr>
        <w:t xml:space="preserve"> </w:t>
      </w:r>
      <w:proofErr w:type="gramStart"/>
      <w:r>
        <w:rPr>
          <w:color w:val="FF0000"/>
          <w:sz w:val="12"/>
          <w:szCs w:val="12"/>
        </w:rPr>
        <w:t>CP21-004</w:t>
      </w:r>
      <w:r>
        <w:rPr>
          <w:color w:val="6600CC"/>
          <w:sz w:val="12"/>
          <w:szCs w:val="12"/>
        </w:rPr>
        <w:t>;;</w:t>
      </w:r>
      <w:proofErr w:type="gramEnd"/>
      <w:r>
        <w:rPr>
          <w:color w:val="6600CC"/>
          <w:sz w:val="12"/>
          <w:szCs w:val="12"/>
        </w:rPr>
        <w:t xml:space="preserve"> </w:t>
      </w:r>
      <w:r>
        <w:rPr>
          <w:b/>
          <w:color w:val="6600FF"/>
          <w:sz w:val="12"/>
          <w:szCs w:val="12"/>
        </w:rPr>
        <w:t>Exclusive</w:t>
      </w:r>
      <w:r>
        <w:rPr>
          <w:b/>
          <w:color w:val="0000FF"/>
          <w:sz w:val="12"/>
          <w:szCs w:val="12"/>
        </w:rPr>
        <w:t xml:space="preserve"> </w:t>
      </w:r>
      <w:r>
        <w:rPr>
          <w:color w:val="6600CC"/>
          <w:sz w:val="12"/>
          <w:szCs w:val="12"/>
        </w:rPr>
        <w:t>č</w:t>
      </w:r>
      <w:r>
        <w:rPr>
          <w:color w:val="FF0000"/>
          <w:sz w:val="12"/>
          <w:szCs w:val="12"/>
        </w:rPr>
        <w:t xml:space="preserve"> CP21-004</w:t>
      </w:r>
      <w:r>
        <w:rPr>
          <w:color w:val="6600CC"/>
          <w:sz w:val="12"/>
          <w:szCs w:val="12"/>
        </w:rPr>
        <w:t>;</w:t>
      </w:r>
      <w:r>
        <w:rPr>
          <w:b/>
          <w:color w:val="6600CC"/>
          <w:sz w:val="12"/>
          <w:szCs w:val="12"/>
        </w:rPr>
        <w:t xml:space="preserve"> Café</w:t>
      </w:r>
      <w:r>
        <w:rPr>
          <w:color w:val="6600CC"/>
          <w:sz w:val="12"/>
          <w:szCs w:val="12"/>
        </w:rPr>
        <w:t xml:space="preserve"> Standard č.</w:t>
      </w:r>
      <w:r>
        <w:rPr>
          <w:color w:val="FF0000"/>
          <w:sz w:val="12"/>
          <w:szCs w:val="12"/>
        </w:rPr>
        <w:t xml:space="preserve"> CP21-004</w:t>
      </w:r>
      <w:r>
        <w:rPr>
          <w:color w:val="6600CC"/>
          <w:sz w:val="12"/>
          <w:szCs w:val="12"/>
        </w:rPr>
        <w:t xml:space="preserve">; </w:t>
      </w:r>
      <w:r>
        <w:rPr>
          <w:b/>
          <w:color w:val="6600CC"/>
          <w:sz w:val="12"/>
          <w:szCs w:val="12"/>
        </w:rPr>
        <w:t>Café</w:t>
      </w:r>
      <w:r>
        <w:rPr>
          <w:color w:val="6600CC"/>
          <w:sz w:val="12"/>
          <w:szCs w:val="12"/>
        </w:rPr>
        <w:t xml:space="preserve"> </w:t>
      </w:r>
      <w:r>
        <w:rPr>
          <w:color w:val="7030A0"/>
          <w:sz w:val="12"/>
          <w:szCs w:val="12"/>
        </w:rPr>
        <w:t xml:space="preserve">Exclusive </w:t>
      </w:r>
      <w:r>
        <w:rPr>
          <w:color w:val="6600CC"/>
          <w:sz w:val="12"/>
          <w:szCs w:val="12"/>
        </w:rPr>
        <w:t>č.</w:t>
      </w:r>
      <w:r>
        <w:rPr>
          <w:color w:val="FF0000"/>
          <w:sz w:val="12"/>
          <w:szCs w:val="12"/>
        </w:rPr>
        <w:t xml:space="preserve"> CP21-004</w:t>
      </w:r>
      <w:r>
        <w:rPr>
          <w:color w:val="6600CC"/>
          <w:sz w:val="12"/>
          <w:szCs w:val="12"/>
        </w:rPr>
        <w:t xml:space="preserve">; viz vzor variantní tabulky na </w:t>
      </w:r>
      <w:proofErr w:type="gramStart"/>
      <w:r>
        <w:rPr>
          <w:color w:val="6600CC"/>
          <w:sz w:val="12"/>
          <w:szCs w:val="12"/>
        </w:rPr>
        <w:t>obr.23</w:t>
      </w:r>
      <w:proofErr w:type="gramEnd"/>
      <w:r w:rsidR="00D9597F">
        <w:rPr>
          <w:color w:val="6600CC"/>
          <w:sz w:val="12"/>
          <w:szCs w:val="12"/>
        </w:rPr>
        <w:t xml:space="preserve">, tab.2 v tematických přílohách, </w:t>
      </w:r>
      <w:r>
        <w:rPr>
          <w:color w:val="6600CC"/>
          <w:sz w:val="12"/>
          <w:szCs w:val="12"/>
        </w:rPr>
        <w:t xml:space="preserve">na </w:t>
      </w:r>
      <w:hyperlink r:id="rId12">
        <w:r>
          <w:rPr>
            <w:rStyle w:val="Internetovodkaz"/>
            <w:sz w:val="12"/>
            <w:szCs w:val="12"/>
          </w:rPr>
          <w:t>www.vti-cz.com</w:t>
        </w:r>
      </w:hyperlink>
      <w:r>
        <w:rPr>
          <w:color w:val="6600CC"/>
          <w:sz w:val="12"/>
          <w:szCs w:val="12"/>
        </w:rPr>
        <w:t xml:space="preserve">, </w:t>
      </w:r>
      <w:r w:rsidRPr="000D3E88">
        <w:rPr>
          <w:color w:val="7030A0"/>
          <w:sz w:val="12"/>
          <w:szCs w:val="12"/>
        </w:rPr>
        <w:t>v sekci ke stažení</w:t>
      </w:r>
      <w:r w:rsidR="00D9597F" w:rsidRPr="000D3E88">
        <w:rPr>
          <w:color w:val="7030A0"/>
          <w:sz w:val="12"/>
          <w:szCs w:val="12"/>
        </w:rPr>
        <w:t xml:space="preserve"> </w:t>
      </w:r>
      <w:r w:rsidR="00D9597F" w:rsidRPr="000D3E88">
        <w:rPr>
          <w:color w:val="7030A0"/>
          <w:sz w:val="12"/>
          <w:szCs w:val="12"/>
          <w:lang w:eastAsia="cs-CZ"/>
        </w:rPr>
        <w:t xml:space="preserve">nebo </w:t>
      </w:r>
      <w:hyperlink r:id="rId13" w:history="1">
        <w:r w:rsidR="00D9597F" w:rsidRPr="00D9597F">
          <w:rPr>
            <w:rStyle w:val="Hypertextovodkaz"/>
            <w:sz w:val="12"/>
            <w:szCs w:val="12"/>
            <w:lang w:eastAsia="cs-CZ"/>
          </w:rPr>
          <w:t>https://aq3monitoring.com</w:t>
        </w:r>
      </w:hyperlink>
    </w:p>
    <w:p w:rsidR="00287B1D" w:rsidRDefault="00BB6CB9">
      <w:pPr>
        <w:ind w:left="-567" w:right="284"/>
        <w:jc w:val="both"/>
        <w:rPr>
          <w:color w:val="6600CC"/>
          <w:sz w:val="12"/>
          <w:szCs w:val="12"/>
        </w:rPr>
      </w:pPr>
      <w:r>
        <w:rPr>
          <w:color w:val="6600CC"/>
          <w:sz w:val="12"/>
          <w:szCs w:val="12"/>
        </w:rPr>
        <w:t>.</w:t>
      </w:r>
    </w:p>
    <w:p w:rsidR="002C6C60" w:rsidRPr="002C6C60" w:rsidRDefault="00BB6CB9" w:rsidP="002C6C60">
      <w:pPr>
        <w:shd w:val="clear" w:color="auto" w:fill="FFFFFF"/>
        <w:ind w:right="567"/>
        <w:jc w:val="both"/>
        <w:rPr>
          <w:i/>
          <w:sz w:val="12"/>
          <w:szCs w:val="12"/>
          <w:lang w:eastAsia="cs-CZ"/>
        </w:rPr>
      </w:pPr>
      <w:r>
        <w:rPr>
          <w:i/>
          <w:color w:val="943634" w:themeColor="accent2" w:themeShade="BF"/>
          <w:sz w:val="12"/>
          <w:szCs w:val="12"/>
          <w:u w:val="single"/>
        </w:rPr>
        <w:t xml:space="preserve">**je nezbytné, aby se do systému po montáži nebo servisu, přihlásil RDM_1, 2 </w:t>
      </w:r>
      <w:r>
        <w:rPr>
          <w:i/>
          <w:color w:val="993300"/>
          <w:sz w:val="12"/>
          <w:szCs w:val="12"/>
          <w:u w:val="single"/>
        </w:rPr>
        <w:t xml:space="preserve">- </w:t>
      </w:r>
      <w:r>
        <w:rPr>
          <w:rFonts w:cstheme="minorHAnsi"/>
          <w:i/>
          <w:color w:val="993300"/>
          <w:sz w:val="12"/>
          <w:szCs w:val="12"/>
          <w:u w:val="single"/>
        </w:rPr>
        <w:t>vzdálená diagnostika a údržba</w:t>
      </w:r>
      <w:r>
        <w:rPr>
          <w:i/>
          <w:color w:val="943634" w:themeColor="accent2" w:themeShade="BF"/>
          <w:sz w:val="12"/>
          <w:szCs w:val="12"/>
          <w:u w:val="single"/>
        </w:rPr>
        <w:t xml:space="preserve">. Podrobnosti o přihlášení (RDM_1,2), naleznete v servisním návodu na </w:t>
      </w:r>
      <w:proofErr w:type="gramStart"/>
      <w:r>
        <w:rPr>
          <w:i/>
          <w:color w:val="943634" w:themeColor="accent2" w:themeShade="BF"/>
          <w:sz w:val="12"/>
          <w:szCs w:val="12"/>
          <w:u w:val="single"/>
        </w:rPr>
        <w:t>suchou a  mokrou</w:t>
      </w:r>
      <w:proofErr w:type="gramEnd"/>
      <w:r>
        <w:rPr>
          <w:i/>
          <w:color w:val="943634" w:themeColor="accent2" w:themeShade="BF"/>
          <w:sz w:val="12"/>
          <w:szCs w:val="12"/>
          <w:u w:val="single"/>
        </w:rPr>
        <w:t xml:space="preserve"> desinfekci AQ3 Mini, které jsou v sekci ke stažení na </w:t>
      </w:r>
      <w:hyperlink r:id="rId14">
        <w:r w:rsidRPr="002C6C60">
          <w:rPr>
            <w:rStyle w:val="Internetovodkaz"/>
            <w:i/>
            <w:sz w:val="12"/>
            <w:szCs w:val="12"/>
          </w:rPr>
          <w:t>www.vti-cz.com</w:t>
        </w:r>
      </w:hyperlink>
      <w:r w:rsidR="002C6C60" w:rsidRPr="002C6C60">
        <w:rPr>
          <w:rStyle w:val="Internetovodkaz"/>
          <w:i/>
          <w:sz w:val="12"/>
          <w:szCs w:val="12"/>
        </w:rPr>
        <w:t xml:space="preserve"> </w:t>
      </w:r>
      <w:r w:rsidR="002C6C60" w:rsidRPr="00D9597F">
        <w:rPr>
          <w:i/>
          <w:color w:val="993300"/>
          <w:sz w:val="12"/>
          <w:szCs w:val="12"/>
          <w:lang w:eastAsia="cs-CZ"/>
        </w:rPr>
        <w:t>nebo</w:t>
      </w:r>
      <w:r w:rsidR="002C6C60" w:rsidRPr="00D9597F">
        <w:rPr>
          <w:i/>
          <w:color w:val="CC3300"/>
          <w:sz w:val="12"/>
          <w:szCs w:val="12"/>
          <w:lang w:eastAsia="cs-CZ"/>
        </w:rPr>
        <w:t xml:space="preserve"> </w:t>
      </w:r>
      <w:hyperlink r:id="rId15" w:history="1">
        <w:r w:rsidR="002C6C60" w:rsidRPr="002C6C60">
          <w:rPr>
            <w:rStyle w:val="Hypertextovodkaz"/>
            <w:i/>
            <w:sz w:val="12"/>
            <w:szCs w:val="12"/>
            <w:lang w:eastAsia="cs-CZ"/>
          </w:rPr>
          <w:t>https://aq3monitoring.com</w:t>
        </w:r>
      </w:hyperlink>
    </w:p>
    <w:p w:rsidR="00287B1D" w:rsidRDefault="00287B1D">
      <w:pPr>
        <w:ind w:left="-567" w:right="284"/>
        <w:jc w:val="both"/>
        <w:rPr>
          <w:rStyle w:val="Internetovodkaz"/>
          <w:sz w:val="12"/>
          <w:szCs w:val="12"/>
        </w:rPr>
      </w:pPr>
    </w:p>
    <w:p w:rsidR="00287B1D" w:rsidRDefault="00BB6CB9">
      <w:pPr>
        <w:spacing w:after="0"/>
        <w:ind w:left="-567" w:right="283" w:firstLine="708"/>
        <w:jc w:val="both"/>
      </w:pPr>
      <w:r>
        <w:t xml:space="preserve">Následuje nátokový regulační a deblokační solenoidový ventil </w:t>
      </w:r>
      <w:r>
        <w:rPr>
          <w:b/>
          <w:color w:val="76923C" w:themeColor="accent3" w:themeShade="BF"/>
        </w:rPr>
        <w:t>SV</w:t>
      </w:r>
      <w:r w:rsidR="00D26632">
        <w:rPr>
          <w:b/>
          <w:color w:val="76923C" w:themeColor="accent3" w:themeShade="BF"/>
        </w:rPr>
        <w:t>0</w:t>
      </w:r>
      <w:r>
        <w:rPr>
          <w:b/>
          <w:color w:val="76923C" w:themeColor="accent3" w:themeShade="BF"/>
        </w:rPr>
        <w:t>NC</w:t>
      </w:r>
      <w:r>
        <w:t xml:space="preserve">* </w:t>
      </w:r>
      <w:r>
        <w:rPr>
          <w:b/>
        </w:rPr>
        <w:t>24</w:t>
      </w:r>
      <w:r>
        <w:t xml:space="preserve"> VDC, s definovanou životností </w:t>
      </w:r>
      <w:r>
        <w:rPr>
          <w:b/>
        </w:rPr>
        <w:t>100 000</w:t>
      </w:r>
      <w:r>
        <w:t xml:space="preserve"> sepnutí, přes který voda protéká do </w:t>
      </w:r>
      <w:r>
        <w:rPr>
          <w:b/>
        </w:rPr>
        <w:t>FM</w:t>
      </w:r>
      <w:r w:rsidR="00D26632">
        <w:rPr>
          <w:b/>
        </w:rPr>
        <w:t>0</w:t>
      </w:r>
      <w:r>
        <w:t>*</w:t>
      </w:r>
      <w:r>
        <w:rPr>
          <w:vertAlign w:val="superscript"/>
        </w:rPr>
        <w:t>1</w:t>
      </w:r>
      <w:r>
        <w:t xml:space="preserve">, který </w:t>
      </w:r>
      <w:r>
        <w:lastRenderedPageBreak/>
        <w:t xml:space="preserve">měří průtok vstupní vody, s definovanou životností </w:t>
      </w:r>
      <w:r>
        <w:rPr>
          <w:b/>
        </w:rPr>
        <w:t>180 000</w:t>
      </w:r>
      <w:r>
        <w:t xml:space="preserve"> litrů a dále plní funkci, že při zastavení průtoku </w:t>
      </w:r>
      <w:r>
        <w:rPr>
          <w:b/>
          <w:color w:val="76923C" w:themeColor="accent3" w:themeShade="BF"/>
        </w:rPr>
        <w:t>FM</w:t>
      </w:r>
      <w:r w:rsidR="00D26632">
        <w:rPr>
          <w:b/>
          <w:color w:val="76923C" w:themeColor="accent3" w:themeShade="BF"/>
        </w:rPr>
        <w:t>0</w:t>
      </w:r>
      <w:r>
        <w:t xml:space="preserve"> vypíná </w:t>
      </w:r>
      <w:r>
        <w:rPr>
          <w:b/>
        </w:rPr>
        <w:t>SV</w:t>
      </w:r>
      <w:r w:rsidR="00D26632">
        <w:rPr>
          <w:b/>
        </w:rPr>
        <w:t>0</w:t>
      </w:r>
      <w:r>
        <w:rPr>
          <w:b/>
        </w:rPr>
        <w:t>NC</w:t>
      </w:r>
      <w:r>
        <w:t xml:space="preserve">. </w:t>
      </w:r>
    </w:p>
    <w:p w:rsidR="00287B1D" w:rsidRDefault="00287B1D">
      <w:pPr>
        <w:spacing w:after="0"/>
        <w:ind w:left="-567" w:right="283" w:firstLine="708"/>
        <w:jc w:val="both"/>
      </w:pPr>
    </w:p>
    <w:p w:rsidR="00287B1D" w:rsidRDefault="00BB6CB9">
      <w:pPr>
        <w:spacing w:after="0"/>
        <w:ind w:left="-567" w:right="283" w:firstLine="708"/>
        <w:jc w:val="both"/>
        <w:rPr>
          <w:b/>
          <w:i/>
          <w:color w:val="FF0000"/>
          <w:u w:val="single"/>
        </w:rPr>
      </w:pPr>
      <w:r>
        <w:t xml:space="preserve"> </w:t>
      </w:r>
      <w:r>
        <w:rPr>
          <w:b/>
          <w:i/>
          <w:color w:val="FF0000"/>
          <w:u w:val="single"/>
        </w:rPr>
        <w:t>ad 2) Popis funkce separačních a sedimentačních UF/NF a NF</w:t>
      </w:r>
      <w:r>
        <w:rPr>
          <w:b/>
          <w:i/>
          <w:color w:val="FF0000"/>
          <w:u w:val="single"/>
          <w:vertAlign w:val="superscript"/>
        </w:rPr>
        <w:t>+</w:t>
      </w:r>
      <w:r>
        <w:rPr>
          <w:b/>
          <w:i/>
          <w:color w:val="FF0000"/>
          <w:u w:val="single"/>
        </w:rPr>
        <w:t xml:space="preserve"> modulů</w:t>
      </w:r>
    </w:p>
    <w:p w:rsidR="00287B1D" w:rsidRDefault="00BB6CB9">
      <w:pPr>
        <w:spacing w:after="0"/>
        <w:ind w:left="-567" w:right="283" w:firstLine="708"/>
        <w:jc w:val="both"/>
      </w:pPr>
      <w:r>
        <w:t xml:space="preserve">Voda dále natéká alternativně do </w:t>
      </w:r>
      <w:r>
        <w:rPr>
          <w:color w:val="0070C0"/>
        </w:rPr>
        <w:t>sedimentačního</w:t>
      </w:r>
      <w:r>
        <w:t xml:space="preserve"> nebo </w:t>
      </w:r>
      <w:r>
        <w:rPr>
          <w:color w:val="FF0000"/>
        </w:rPr>
        <w:t>spirálního</w:t>
      </w:r>
      <w:r>
        <w:t xml:space="preserve"> </w:t>
      </w:r>
      <w:proofErr w:type="gramStart"/>
      <w:r>
        <w:t>nanomodulu</w:t>
      </w:r>
      <w:r>
        <w:rPr>
          <w:vertAlign w:val="subscript"/>
        </w:rPr>
        <w:t>3)</w:t>
      </w:r>
      <w:r>
        <w:t xml:space="preserve"> (</w:t>
      </w:r>
      <w:r>
        <w:rPr>
          <w:b/>
          <w:color w:val="0070C0"/>
        </w:rPr>
        <w:t>SMa</w:t>
      </w:r>
      <w:proofErr w:type="gramEnd"/>
      <w:r>
        <w:t>)</w:t>
      </w:r>
      <w:r>
        <w:rPr>
          <w:vertAlign w:val="superscript"/>
        </w:rPr>
        <w:t>1a)</w:t>
      </w:r>
      <w:r>
        <w:t xml:space="preserve"> či (</w:t>
      </w:r>
      <w:r>
        <w:rPr>
          <w:b/>
          <w:color w:val="FF0000"/>
        </w:rPr>
        <w:t>SMb</w:t>
      </w:r>
      <w:r>
        <w:t>)</w:t>
      </w:r>
      <w:r>
        <w:rPr>
          <w:vertAlign w:val="superscript"/>
        </w:rPr>
        <w:t xml:space="preserve">2b) </w:t>
      </w:r>
      <w:r>
        <w:t xml:space="preserve">membránového typu </w:t>
      </w:r>
      <w:r>
        <w:rPr>
          <w:i/>
          <w:color w:val="0070C0"/>
          <w:u w:val="single"/>
        </w:rPr>
        <w:t>dead end</w:t>
      </w:r>
      <w:r>
        <w:rPr>
          <w:i/>
          <w:color w:val="0070C0"/>
          <w:vertAlign w:val="superscript"/>
        </w:rPr>
        <w:t>1a</w:t>
      </w:r>
      <w:r>
        <w:rPr>
          <w:i/>
          <w:vertAlign w:val="superscript"/>
        </w:rPr>
        <w:t xml:space="preserve">) </w:t>
      </w:r>
      <w:r>
        <w:t xml:space="preserve">nebo </w:t>
      </w:r>
      <w:r>
        <w:rPr>
          <w:i/>
          <w:color w:val="FF0000"/>
          <w:u w:val="single"/>
        </w:rPr>
        <w:t>crossflow</w:t>
      </w:r>
      <w:r>
        <w:rPr>
          <w:i/>
          <w:vertAlign w:val="superscript"/>
        </w:rPr>
        <w:t>2b)</w:t>
      </w:r>
      <w:r>
        <w:t xml:space="preserve">, s definovanou životností ~ </w:t>
      </w:r>
      <w:r>
        <w:rPr>
          <w:b/>
        </w:rPr>
        <w:t>30 000</w:t>
      </w:r>
      <w:r>
        <w:t xml:space="preserve"> litrů, kde se separují molekuly nerozpuštěných částic do velikosti </w:t>
      </w:r>
    </w:p>
    <w:p w:rsidR="00287B1D" w:rsidRDefault="00287B1D">
      <w:pPr>
        <w:spacing w:after="0"/>
        <w:ind w:left="-567" w:right="283" w:firstLine="708"/>
        <w:jc w:val="both"/>
      </w:pPr>
    </w:p>
    <w:p w:rsidR="00287B1D" w:rsidRDefault="00BB6CB9">
      <w:pPr>
        <w:spacing w:after="0"/>
        <w:ind w:left="-567" w:right="283"/>
        <w:jc w:val="both"/>
      </w:pPr>
      <w:r>
        <w:rPr>
          <w:b/>
          <w:color w:val="0070C0"/>
        </w:rPr>
        <w:t>0.1 a 0.02</w:t>
      </w:r>
      <w:r>
        <w:rPr>
          <w:color w:val="0070C0"/>
        </w:rPr>
        <w:t xml:space="preserve"> mic (</w:t>
      </w:r>
      <w:r>
        <w:rPr>
          <w:b/>
          <w:color w:val="0070C0"/>
        </w:rPr>
        <w:t>100</w:t>
      </w:r>
      <w:r>
        <w:rPr>
          <w:color w:val="0070C0"/>
        </w:rPr>
        <w:t xml:space="preserve"> a </w:t>
      </w:r>
      <w:r>
        <w:rPr>
          <w:b/>
          <w:color w:val="0070C0"/>
        </w:rPr>
        <w:t>20</w:t>
      </w:r>
      <w:r>
        <w:rPr>
          <w:color w:val="0070C0"/>
        </w:rPr>
        <w:t xml:space="preserve"> nm)</w:t>
      </w:r>
      <w:r>
        <w:rPr>
          <w:vertAlign w:val="superscript"/>
        </w:rPr>
        <w:t>1a)</w:t>
      </w:r>
      <w:r>
        <w:t xml:space="preserve"> v případě UF/NF sedimentačního systému </w:t>
      </w:r>
      <w:r>
        <w:rPr>
          <w:b/>
        </w:rPr>
        <w:t>B3a</w:t>
      </w:r>
      <w:r>
        <w:t xml:space="preserve">, </w:t>
      </w:r>
      <w:r>
        <w:rPr>
          <w:b/>
        </w:rPr>
        <w:t>B3b</w:t>
      </w:r>
    </w:p>
    <w:p w:rsidR="00287B1D" w:rsidRDefault="00BB6CB9">
      <w:pPr>
        <w:spacing w:after="0"/>
        <w:ind w:left="-567" w:right="283"/>
        <w:jc w:val="both"/>
      </w:pPr>
      <w:r>
        <w:t xml:space="preserve"> a </w:t>
      </w:r>
    </w:p>
    <w:p w:rsidR="00287B1D" w:rsidRDefault="00BB6CB9">
      <w:pPr>
        <w:spacing w:after="0"/>
        <w:ind w:left="-567" w:right="283"/>
        <w:jc w:val="both"/>
      </w:pPr>
      <w:r>
        <w:rPr>
          <w:b/>
          <w:color w:val="FF0000"/>
        </w:rPr>
        <w:t>0.009</w:t>
      </w:r>
      <w:r>
        <w:rPr>
          <w:color w:val="FF0000"/>
        </w:rPr>
        <w:t xml:space="preserve"> mic (</w:t>
      </w:r>
      <w:r>
        <w:rPr>
          <w:b/>
          <w:color w:val="FF0000"/>
        </w:rPr>
        <w:t>9</w:t>
      </w:r>
      <w:r>
        <w:rPr>
          <w:color w:val="FF0000"/>
        </w:rPr>
        <w:t xml:space="preserve"> nm)</w:t>
      </w:r>
      <w:r>
        <w:rPr>
          <w:vertAlign w:val="superscript"/>
        </w:rPr>
        <w:t>2b)</w:t>
      </w:r>
      <w:r>
        <w:t xml:space="preserve"> v případě NF separačního systému </w:t>
      </w:r>
      <w:r>
        <w:rPr>
          <w:b/>
        </w:rPr>
        <w:t xml:space="preserve">B3c </w:t>
      </w:r>
      <w:r>
        <w:t xml:space="preserve">s iontovou optimalizací. </w:t>
      </w:r>
    </w:p>
    <w:p w:rsidR="00287B1D" w:rsidRDefault="00287B1D">
      <w:pPr>
        <w:spacing w:after="0"/>
        <w:ind w:left="-567" w:right="283"/>
        <w:jc w:val="both"/>
      </w:pPr>
    </w:p>
    <w:p w:rsidR="00287B1D" w:rsidRDefault="00BB6CB9">
      <w:pPr>
        <w:ind w:left="-567" w:right="284" w:firstLine="708"/>
        <w:jc w:val="both"/>
      </w:pPr>
      <w:r>
        <w:t xml:space="preserve">Zde provádí výrobce/servis kontrolní měření kvality výstupní vody z primární části a to pomocí  </w:t>
      </w:r>
      <w:proofErr w:type="gramStart"/>
      <w:r>
        <w:t>měřícího přístroje</w:t>
      </w:r>
      <w:proofErr w:type="gramEnd"/>
      <w:r>
        <w:t xml:space="preserve"> – turbidimetru  Hach Lange  </w:t>
      </w:r>
      <w:r>
        <w:rPr>
          <w:b/>
        </w:rPr>
        <w:t>2100Q</w:t>
      </w:r>
      <w:r>
        <w:t>.</w:t>
      </w:r>
    </w:p>
    <w:p w:rsidR="00287B1D" w:rsidRDefault="00287B1D">
      <w:pPr>
        <w:spacing w:after="0"/>
        <w:ind w:left="-567" w:right="283"/>
        <w:jc w:val="both"/>
        <w:rPr>
          <w:sz w:val="12"/>
          <w:szCs w:val="12"/>
        </w:rPr>
      </w:pPr>
    </w:p>
    <w:p w:rsidR="00287B1D" w:rsidRDefault="00BB6CB9">
      <w:pPr>
        <w:spacing w:after="0"/>
        <w:ind w:left="-567" w:right="283"/>
        <w:jc w:val="both"/>
        <w:rPr>
          <w:rFonts w:eastAsia="Times New Roman" w:cs="Times New Roman"/>
          <w:sz w:val="12"/>
          <w:szCs w:val="12"/>
          <w:lang w:eastAsia="cs-CZ"/>
        </w:rPr>
      </w:pPr>
      <w:r>
        <w:rPr>
          <w:sz w:val="14"/>
          <w:szCs w:val="14"/>
          <w:vertAlign w:val="superscript"/>
        </w:rPr>
        <w:t xml:space="preserve">1a) </w:t>
      </w:r>
      <w:r>
        <w:rPr>
          <w:sz w:val="12"/>
          <w:szCs w:val="12"/>
        </w:rPr>
        <w:t xml:space="preserve">k sedimentačnímu systému pro filtraci částic, lze </w:t>
      </w:r>
      <w:r>
        <w:rPr>
          <w:sz w:val="12"/>
          <w:szCs w:val="12"/>
          <w:u w:val="single"/>
        </w:rPr>
        <w:t>předřadit</w:t>
      </w:r>
      <w:r>
        <w:rPr>
          <w:sz w:val="12"/>
          <w:szCs w:val="12"/>
        </w:rPr>
        <w:t xml:space="preserve"> ještě </w:t>
      </w:r>
      <w:r>
        <w:rPr>
          <w:color w:val="0070C0"/>
          <w:sz w:val="12"/>
          <w:szCs w:val="12"/>
        </w:rPr>
        <w:t xml:space="preserve">UF/NF </w:t>
      </w:r>
      <w:r>
        <w:rPr>
          <w:sz w:val="12"/>
          <w:szCs w:val="12"/>
        </w:rPr>
        <w:t xml:space="preserve">modul  </w:t>
      </w:r>
      <w:r>
        <w:rPr>
          <w:b/>
          <w:sz w:val="12"/>
          <w:szCs w:val="12"/>
        </w:rPr>
        <w:t>A3c,</w:t>
      </w:r>
      <w:r>
        <w:rPr>
          <w:sz w:val="12"/>
          <w:szCs w:val="12"/>
        </w:rPr>
        <w:t xml:space="preserve"> pro filtraci částic do velikosti </w:t>
      </w:r>
      <w:r>
        <w:rPr>
          <w:b/>
          <w:color w:val="0070C0"/>
          <w:sz w:val="12"/>
          <w:szCs w:val="12"/>
        </w:rPr>
        <w:t>0.25</w:t>
      </w:r>
      <w:r>
        <w:rPr>
          <w:color w:val="0070C0"/>
          <w:sz w:val="12"/>
          <w:szCs w:val="12"/>
        </w:rPr>
        <w:t xml:space="preserve"> mic (</w:t>
      </w:r>
      <w:r>
        <w:rPr>
          <w:b/>
          <w:color w:val="0070C0"/>
          <w:sz w:val="12"/>
          <w:szCs w:val="12"/>
        </w:rPr>
        <w:t>250</w:t>
      </w:r>
      <w:r>
        <w:rPr>
          <w:color w:val="0070C0"/>
          <w:sz w:val="12"/>
          <w:szCs w:val="12"/>
        </w:rPr>
        <w:t xml:space="preserve"> nm) </w:t>
      </w:r>
      <w:r>
        <w:rPr>
          <w:sz w:val="12"/>
          <w:szCs w:val="12"/>
        </w:rPr>
        <w:t>(</w:t>
      </w:r>
      <w:proofErr w:type="gramStart"/>
      <w:r>
        <w:rPr>
          <w:sz w:val="12"/>
          <w:szCs w:val="12"/>
        </w:rPr>
        <w:t>pouze u  Basic)</w:t>
      </w:r>
      <w:proofErr w:type="gramEnd"/>
    </w:p>
    <w:p w:rsidR="00287B1D" w:rsidRDefault="00BB6CB9">
      <w:pPr>
        <w:spacing w:after="0"/>
        <w:ind w:left="-567" w:right="283"/>
        <w:jc w:val="both"/>
        <w:rPr>
          <w:rFonts w:eastAsia="Times New Roman" w:cs="Times New Roman"/>
          <w:sz w:val="14"/>
          <w:szCs w:val="14"/>
          <w:lang w:eastAsia="cs-CZ"/>
        </w:rPr>
      </w:pPr>
      <w:r>
        <w:rPr>
          <w:rFonts w:eastAsia="Times New Roman" w:cs="Times New Roman"/>
          <w:sz w:val="14"/>
          <w:szCs w:val="14"/>
          <w:vertAlign w:val="superscript"/>
          <w:lang w:eastAsia="cs-CZ"/>
        </w:rPr>
        <w:t>2b)</w:t>
      </w:r>
      <w:r>
        <w:rPr>
          <w:rFonts w:eastAsia="Times New Roman" w:cs="Times New Roman"/>
          <w:sz w:val="14"/>
          <w:szCs w:val="14"/>
          <w:lang w:eastAsia="cs-CZ"/>
        </w:rPr>
        <w:t xml:space="preserve"> </w:t>
      </w:r>
      <w:r>
        <w:rPr>
          <w:rFonts w:eastAsia="Times New Roman" w:cs="Times New Roman"/>
          <w:sz w:val="12"/>
          <w:szCs w:val="12"/>
          <w:lang w:eastAsia="cs-CZ"/>
        </w:rPr>
        <w:t xml:space="preserve">v případě potřeby (dle rozboru vody) lze doobjednat po konzultaci  </w:t>
      </w:r>
      <w:r>
        <w:rPr>
          <w:rFonts w:eastAsia="Times New Roman" w:cs="Times New Roman"/>
          <w:color w:val="0070C0"/>
          <w:sz w:val="12"/>
          <w:szCs w:val="12"/>
          <w:lang w:eastAsia="cs-CZ"/>
        </w:rPr>
        <w:t>NF</w:t>
      </w:r>
      <w:r>
        <w:rPr>
          <w:rFonts w:eastAsia="Times New Roman" w:cs="Times New Roman"/>
          <w:color w:val="0070C0"/>
          <w:sz w:val="12"/>
          <w:szCs w:val="12"/>
          <w:vertAlign w:val="superscript"/>
          <w:lang w:eastAsia="cs-CZ"/>
        </w:rPr>
        <w:t>+</w:t>
      </w:r>
      <w:r>
        <w:rPr>
          <w:rFonts w:eastAsia="Times New Roman" w:cs="Times New Roman"/>
          <w:sz w:val="12"/>
          <w:szCs w:val="12"/>
          <w:lang w:eastAsia="cs-CZ"/>
        </w:rPr>
        <w:t xml:space="preserve"> spirální modul pro separaci částic až do velikosti </w:t>
      </w:r>
      <w:r>
        <w:rPr>
          <w:rFonts w:eastAsia="Times New Roman" w:cs="Times New Roman"/>
          <w:b/>
          <w:color w:val="FF0000"/>
          <w:sz w:val="12"/>
          <w:szCs w:val="12"/>
          <w:lang w:eastAsia="cs-CZ"/>
        </w:rPr>
        <w:t>0.001</w:t>
      </w:r>
      <w:r>
        <w:rPr>
          <w:rFonts w:eastAsia="Times New Roman" w:cs="Times New Roman"/>
          <w:color w:val="FF0000"/>
          <w:sz w:val="12"/>
          <w:szCs w:val="12"/>
          <w:lang w:eastAsia="cs-CZ"/>
        </w:rPr>
        <w:t xml:space="preserve"> mic (</w:t>
      </w:r>
      <w:r>
        <w:rPr>
          <w:rFonts w:eastAsia="Times New Roman" w:cs="Times New Roman"/>
          <w:b/>
          <w:color w:val="FF0000"/>
          <w:sz w:val="12"/>
          <w:szCs w:val="12"/>
          <w:lang w:eastAsia="cs-CZ"/>
        </w:rPr>
        <w:t>1</w:t>
      </w:r>
      <w:r>
        <w:rPr>
          <w:rFonts w:eastAsia="Times New Roman" w:cs="Times New Roman"/>
          <w:color w:val="FF0000"/>
          <w:sz w:val="12"/>
          <w:szCs w:val="12"/>
          <w:lang w:eastAsia="cs-CZ"/>
        </w:rPr>
        <w:t xml:space="preserve"> nm)</w:t>
      </w:r>
      <w:r>
        <w:rPr>
          <w:rFonts w:eastAsia="Times New Roman" w:cs="Times New Roman"/>
          <w:sz w:val="14"/>
          <w:szCs w:val="14"/>
          <w:lang w:eastAsia="cs-CZ"/>
        </w:rPr>
        <w:t xml:space="preserve"> </w:t>
      </w:r>
    </w:p>
    <w:p w:rsidR="00287B1D" w:rsidRDefault="00BB6CB9">
      <w:pPr>
        <w:spacing w:after="0"/>
        <w:ind w:left="-567" w:right="283"/>
        <w:jc w:val="both"/>
        <w:rPr>
          <w:rFonts w:eastAsia="Times New Roman" w:cs="Times New Roman"/>
          <w:sz w:val="12"/>
          <w:szCs w:val="12"/>
          <w:lang w:eastAsia="cs-CZ"/>
        </w:rPr>
      </w:pPr>
      <w:r>
        <w:rPr>
          <w:rFonts w:eastAsia="Times New Roman" w:cs="Times New Roman"/>
          <w:sz w:val="14"/>
          <w:szCs w:val="14"/>
          <w:vertAlign w:val="subscript"/>
          <w:lang w:eastAsia="cs-CZ"/>
        </w:rPr>
        <w:t>3)</w:t>
      </w:r>
      <w:r>
        <w:rPr>
          <w:rFonts w:eastAsia="Times New Roman" w:cs="Times New Roman"/>
          <w:sz w:val="14"/>
          <w:szCs w:val="14"/>
          <w:lang w:eastAsia="cs-CZ"/>
        </w:rPr>
        <w:t xml:space="preserve"> </w:t>
      </w:r>
      <w:r>
        <w:rPr>
          <w:rFonts w:eastAsia="Times New Roman" w:cs="Times New Roman"/>
          <w:sz w:val="12"/>
          <w:szCs w:val="12"/>
          <w:lang w:eastAsia="cs-CZ"/>
        </w:rPr>
        <w:t xml:space="preserve">prvotní desinfekce se provádí bez vloženého modulu SMb, více v sekci ke stažení </w:t>
      </w:r>
      <w:hyperlink r:id="rId16">
        <w:r>
          <w:rPr>
            <w:rStyle w:val="Internetovodkaz"/>
            <w:rFonts w:eastAsia="Times New Roman" w:cs="Times New Roman"/>
            <w:sz w:val="12"/>
            <w:szCs w:val="12"/>
            <w:lang w:eastAsia="cs-CZ"/>
          </w:rPr>
          <w:t>www.vti-cz.com</w:t>
        </w:r>
      </w:hyperlink>
      <w:r>
        <w:rPr>
          <w:rFonts w:eastAsia="Times New Roman" w:cs="Times New Roman"/>
          <w:sz w:val="12"/>
          <w:szCs w:val="12"/>
          <w:lang w:eastAsia="cs-CZ"/>
        </w:rPr>
        <w:t xml:space="preserve"> </w:t>
      </w:r>
      <w:r w:rsidR="00002CC0">
        <w:rPr>
          <w:rFonts w:eastAsia="Times New Roman" w:cs="Times New Roman"/>
          <w:sz w:val="12"/>
          <w:szCs w:val="12"/>
          <w:lang w:eastAsia="cs-CZ"/>
        </w:rPr>
        <w:t xml:space="preserve"> nebo </w:t>
      </w:r>
      <w:hyperlink r:id="rId17" w:history="1">
        <w:r w:rsidR="00002CC0" w:rsidRPr="002C6C60">
          <w:rPr>
            <w:rStyle w:val="Hypertextovodkaz"/>
            <w:i/>
            <w:sz w:val="12"/>
            <w:szCs w:val="12"/>
            <w:lang w:eastAsia="cs-CZ"/>
          </w:rPr>
          <w:t>https://aq3monitoring.com</w:t>
        </w:r>
      </w:hyperlink>
      <w:r w:rsidR="00002CC0">
        <w:rPr>
          <w:rFonts w:eastAsia="Times New Roman" w:cs="Times New Roman"/>
          <w:sz w:val="12"/>
          <w:szCs w:val="12"/>
          <w:lang w:eastAsia="cs-CZ"/>
        </w:rPr>
        <w:t xml:space="preserve"> </w:t>
      </w:r>
      <w:r>
        <w:rPr>
          <w:rFonts w:eastAsia="Times New Roman" w:cs="Times New Roman"/>
          <w:sz w:val="12"/>
          <w:szCs w:val="12"/>
          <w:lang w:eastAsia="cs-CZ"/>
        </w:rPr>
        <w:t>servisní návod na mokrou a suchou desinfekci</w:t>
      </w:r>
    </w:p>
    <w:p w:rsidR="00287B1D" w:rsidRDefault="00287B1D">
      <w:pPr>
        <w:ind w:firstLine="141"/>
        <w:jc w:val="both"/>
      </w:pPr>
    </w:p>
    <w:p w:rsidR="00287B1D" w:rsidRDefault="00BB6CB9">
      <w:pPr>
        <w:ind w:left="-567" w:firstLine="567"/>
        <w:jc w:val="both"/>
      </w:pPr>
      <w:r>
        <w:t xml:space="preserve">Technologie AQ3/THASMS   snižuje (sorbuje, separuje) hladiny např. </w:t>
      </w:r>
      <w:r>
        <w:rPr>
          <w:color w:val="FF0000"/>
        </w:rPr>
        <w:t xml:space="preserve">mikropolutantů, </w:t>
      </w:r>
      <w:r>
        <w:t>(</w:t>
      </w:r>
      <w:r>
        <w:rPr>
          <w:color w:val="3333FF"/>
        </w:rPr>
        <w:t>to</w:t>
      </w:r>
      <w:r>
        <w:t xml:space="preserve"> </w:t>
      </w:r>
      <w:r>
        <w:rPr>
          <w:color w:val="0000FF"/>
        </w:rPr>
        <w:t xml:space="preserve">jsou chemické látky, které se běžně používají ve výrobcích například jako změkčovadla plastů nebo léčiva a ve vodním prostředí putují napříč planetou. Ty nejnebezpečnější z nich dokážou narušovat hormonální systém zvířat a lidí. Jejich účinky se dávají do souvislosti mimo jiné s </w:t>
      </w:r>
      <w:r>
        <w:rPr>
          <w:i/>
          <w:color w:val="0000FF"/>
          <w:u w:val="single"/>
        </w:rPr>
        <w:t>deformací pohlavních orgánů</w:t>
      </w:r>
      <w:r>
        <w:rPr>
          <w:color w:val="0000FF"/>
        </w:rPr>
        <w:t xml:space="preserve">, ale i se vzrůstajícím </w:t>
      </w:r>
      <w:r>
        <w:rPr>
          <w:i/>
          <w:color w:val="0000FF"/>
          <w:u w:val="single"/>
        </w:rPr>
        <w:t>výskytem rakoviny prsu, varlat, sníženou plodností či předčasnou pubertou</w:t>
      </w:r>
      <w:r>
        <w:rPr>
          <w:color w:val="0000FF"/>
        </w:rPr>
        <w:t>. V</w:t>
      </w:r>
      <w:r>
        <w:rPr>
          <w:rFonts w:ascii="Segoe UI" w:hAnsi="Segoe UI" w:cs="Segoe UI"/>
          <w:color w:val="0000FF"/>
          <w:shd w:val="clear" w:color="auto" w:fill="F3F3F3"/>
        </w:rPr>
        <w:t xml:space="preserve"> </w:t>
      </w:r>
      <w:r>
        <w:rPr>
          <w:color w:val="0000FF"/>
        </w:rPr>
        <w:t xml:space="preserve">upravené vodě z VVŘ bylo po světě  m.j. detekováno </w:t>
      </w:r>
      <w:r>
        <w:rPr>
          <w:b/>
          <w:color w:val="0000FF"/>
        </w:rPr>
        <w:t>300</w:t>
      </w:r>
      <w:r>
        <w:rPr>
          <w:color w:val="0000FF"/>
        </w:rPr>
        <w:t xml:space="preserve"> až </w:t>
      </w:r>
      <w:r>
        <w:rPr>
          <w:b/>
          <w:color w:val="0000FF"/>
        </w:rPr>
        <w:t>900</w:t>
      </w:r>
      <w:r>
        <w:rPr>
          <w:color w:val="0000FF"/>
        </w:rPr>
        <w:t xml:space="preserve"> částic na litr vody</w:t>
      </w:r>
      <w:r>
        <w:t xml:space="preserve">), </w:t>
      </w:r>
      <w:r>
        <w:rPr>
          <w:color w:val="FF0000"/>
        </w:rPr>
        <w:t>rzi</w:t>
      </w:r>
      <w:r>
        <w:t xml:space="preserve"> a </w:t>
      </w:r>
      <w:r>
        <w:rPr>
          <w:color w:val="FF0000"/>
        </w:rPr>
        <w:t xml:space="preserve">mechanických nečistot,  fenolů, vtalátů, pesticidů </w:t>
      </w:r>
      <w:r>
        <w:t>(</w:t>
      </w:r>
      <w:r>
        <w:rPr>
          <w:color w:val="0000FF"/>
        </w:rPr>
        <w:t>nadlimitní koncentrace</w:t>
      </w:r>
      <w:r>
        <w:t xml:space="preserve">), </w:t>
      </w:r>
      <w:r>
        <w:rPr>
          <w:color w:val="FF0000"/>
        </w:rPr>
        <w:t>herbicidů,</w:t>
      </w:r>
      <w:r>
        <w:rPr>
          <w:rFonts w:eastAsia="Times New Roman" w:cs="Times New Roman"/>
          <w:color w:val="FF0000"/>
          <w:lang w:eastAsia="cs-CZ"/>
        </w:rPr>
        <w:t xml:space="preserve"> </w:t>
      </w:r>
      <w:r>
        <w:t xml:space="preserve">parazitů, prvoků, bakterií, norovirů, adenovirů, rotavirů, poliovirů, hepatitidy A a E, parazitů, </w:t>
      </w:r>
      <w:proofErr w:type="gramStart"/>
      <w:r>
        <w:t>prvoků,</w:t>
      </w:r>
      <w:r>
        <w:rPr>
          <w:rFonts w:eastAsia="Times New Roman" w:cs="Times New Roman"/>
          <w:color w:val="FF0000"/>
          <w:lang w:eastAsia="cs-CZ"/>
        </w:rPr>
        <w:t xml:space="preserve">  řas</w:t>
      </w:r>
      <w:proofErr w:type="gramEnd"/>
      <w:r>
        <w:rPr>
          <w:rFonts w:eastAsia="Times New Roman" w:cs="Times New Roman"/>
          <w:color w:val="FF0000"/>
          <w:lang w:eastAsia="cs-CZ"/>
        </w:rPr>
        <w:t>, sinic, sporů, cyst, kok, plísní, hub, kvasinek</w:t>
      </w:r>
      <w:r>
        <w:rPr>
          <w:color w:val="FF0000"/>
        </w:rPr>
        <w:t xml:space="preserve">, někdy </w:t>
      </w:r>
      <w:r>
        <w:t xml:space="preserve"> i pod mezí detekce.</w:t>
      </w:r>
      <w:r>
        <w:rPr>
          <w:rFonts w:ascii="Segoe UI" w:hAnsi="Segoe UI" w:cs="Segoe UI"/>
          <w:color w:val="666666"/>
          <w:shd w:val="clear" w:color="auto" w:fill="F3F3F3"/>
        </w:rPr>
        <w:t xml:space="preserve"> </w:t>
      </w:r>
      <w:r>
        <w:rPr>
          <w:i/>
          <w:u w:val="single"/>
        </w:rPr>
        <w:t>Bakterie a viry</w:t>
      </w:r>
      <w:r>
        <w:t> se do vodovodního řádu mohou dostávat zejména při závadách a haváriích na potrubí, průsakem do studní, vrtů atd. Takové případy nejsou výjimečné. U balených vod může k pomnožení mikroorganismů docházet při nevhodném skladování a ty se tak mohou stát rizikovější než voda vodovodní.</w:t>
      </w:r>
    </w:p>
    <w:p w:rsidR="00287B1D" w:rsidRDefault="00BB6CB9">
      <w:pPr>
        <w:ind w:left="-567" w:firstLine="567"/>
        <w:jc w:val="both"/>
      </w:pPr>
      <w:r>
        <w:t xml:space="preserve">Pravidelné monitorování Hydrometeorologického ústavu (ČHMÚ) ukázalo, že více než polovina podzemních vod, na téměř </w:t>
      </w:r>
      <w:r>
        <w:rPr>
          <w:b/>
        </w:rPr>
        <w:t>700</w:t>
      </w:r>
      <w:r>
        <w:t xml:space="preserve"> sledovaných místech po celé ČR, obsahuje </w:t>
      </w:r>
      <w:r>
        <w:rPr>
          <w:i/>
          <w:u w:val="single"/>
        </w:rPr>
        <w:t>pesticidy</w:t>
      </w:r>
      <w:r>
        <w:t xml:space="preserve"> a u více než </w:t>
      </w:r>
      <w:r>
        <w:rPr>
          <w:b/>
        </w:rPr>
        <w:t>40</w:t>
      </w:r>
      <w:r>
        <w:t>% dokonce hydrologové zaznamenali nadlimitní koncentrace. Pesticidy se vyskytují i ve vodě, která je vyčerpána a rozváděna do vodovodů. </w:t>
      </w:r>
    </w:p>
    <w:p w:rsidR="00287B1D" w:rsidRDefault="00BB6CB9">
      <w:pPr>
        <w:ind w:left="-567" w:firstLine="567"/>
      </w:pPr>
      <w:r>
        <w:rPr>
          <w:i/>
          <w:u w:val="single"/>
        </w:rPr>
        <w:t>Rez a mechanické nečistoty</w:t>
      </w:r>
      <w:r>
        <w:t xml:space="preserve"> se mohou do vody uvolňovat nejenom při poruchách, ale také z potrubí. Nejrizikovějšími jsou v tomto případě zastaralá vedení a odlehlejší místa kde voda déle stojí. </w:t>
      </w:r>
    </w:p>
    <w:p w:rsidR="00287B1D" w:rsidRDefault="00BB6CB9">
      <w:pPr>
        <w:ind w:left="-567" w:firstLine="567"/>
      </w:pPr>
      <w:r>
        <w:rPr>
          <w:i/>
          <w:u w:val="single"/>
        </w:rPr>
        <w:lastRenderedPageBreak/>
        <w:t>Sinice a řasy</w:t>
      </w:r>
      <w:r>
        <w:t xml:space="preserve"> významně ovlivňují účinnost adsorpce pesticidů v úpravnách vod, jejich složení je velmi různorodé a některé z nich ani průmyslové úpravny odstraňovat neumí. Zbytky těchto látek poté mohou v interakci s dezinfekčními prostředky způsobovat tvorbu toxických vedlejších produktů dezinfekce.</w:t>
      </w:r>
    </w:p>
    <w:p w:rsidR="00287B1D" w:rsidRDefault="00BB6CB9">
      <w:pPr>
        <w:pStyle w:val="Normlnweb"/>
        <w:spacing w:before="280" w:after="280"/>
        <w:ind w:left="-567" w:firstLine="567"/>
        <w:jc w:val="both"/>
        <w:rPr>
          <w:rFonts w:ascii="Verdana" w:hAnsi="Verdana"/>
          <w:sz w:val="22"/>
          <w:szCs w:val="22"/>
        </w:rPr>
      </w:pPr>
      <w:r>
        <w:rPr>
          <w:rFonts w:ascii="Verdana" w:hAnsi="Verdana"/>
          <w:sz w:val="22"/>
          <w:szCs w:val="22"/>
        </w:rPr>
        <w:t xml:space="preserve">Současně v technologii AQ3 dochází i k radikálnímu snížení koncentrace </w:t>
      </w:r>
      <w:r>
        <w:rPr>
          <w:rFonts w:ascii="Verdana" w:hAnsi="Verdana"/>
          <w:color w:val="FF0000"/>
          <w:sz w:val="22"/>
          <w:szCs w:val="22"/>
        </w:rPr>
        <w:t>antibiotik, antikoncepce, estrogenů, testosteronů, rezidua léčiv, kovů, mikroplastů</w:t>
      </w:r>
      <w:r>
        <w:rPr>
          <w:rFonts w:ascii="Verdana" w:hAnsi="Verdana"/>
          <w:sz w:val="22"/>
          <w:szCs w:val="22"/>
        </w:rPr>
        <w:t xml:space="preserve"> (</w:t>
      </w:r>
      <w:r>
        <w:rPr>
          <w:rFonts w:ascii="Verdana" w:hAnsi="Verdana"/>
          <w:color w:val="0000FF"/>
          <w:sz w:val="22"/>
          <w:szCs w:val="22"/>
        </w:rPr>
        <w:t xml:space="preserve">prokázaná přítomnost mikroplastů v surové i upravené pitné vodě u všech vzorků odebraných na území ČR, jako např. </w:t>
      </w:r>
      <w:r>
        <w:rPr>
          <w:rFonts w:ascii="Verdana" w:hAnsi="Verdana"/>
          <w:i/>
          <w:color w:val="00B050"/>
          <w:sz w:val="22"/>
          <w:szCs w:val="22"/>
          <w:u w:val="single"/>
        </w:rPr>
        <w:t>bisfenol A, ftaláty či polychlorované bifenyly</w:t>
      </w:r>
      <w:r>
        <w:rPr>
          <w:rFonts w:ascii="Verdana" w:hAnsi="Verdana"/>
          <w:sz w:val="22"/>
          <w:szCs w:val="22"/>
        </w:rPr>
        <w:t xml:space="preserve"> - některé plastové obaly mohou do vody látky jako bisfenol A uvolňovat), psychoaktivních drog a dalších toxinů z vody….</w:t>
      </w:r>
      <w:r>
        <w:rPr>
          <w:rFonts w:ascii="Verdana" w:hAnsi="Verdana"/>
          <w:color w:val="FF0000"/>
          <w:sz w:val="22"/>
          <w:szCs w:val="22"/>
          <w:u w:val="single"/>
        </w:rPr>
        <w:t xml:space="preserve"> Podle zveřejněné studie </w:t>
      </w:r>
      <w:proofErr w:type="gramStart"/>
      <w:r>
        <w:rPr>
          <w:rFonts w:ascii="Verdana" w:hAnsi="Verdana"/>
          <w:color w:val="FF0000"/>
          <w:sz w:val="22"/>
          <w:szCs w:val="22"/>
          <w:u w:val="single"/>
        </w:rPr>
        <w:t>SZÚ  byl</w:t>
      </w:r>
      <w:proofErr w:type="gramEnd"/>
      <w:r>
        <w:rPr>
          <w:rFonts w:ascii="Verdana" w:hAnsi="Verdana"/>
          <w:color w:val="FF0000"/>
          <w:sz w:val="22"/>
          <w:szCs w:val="22"/>
          <w:u w:val="single"/>
        </w:rPr>
        <w:t xml:space="preserve"> už v letech </w:t>
      </w:r>
      <w:r>
        <w:rPr>
          <w:rFonts w:ascii="Verdana" w:hAnsi="Verdana"/>
          <w:sz w:val="22"/>
          <w:szCs w:val="22"/>
        </w:rPr>
        <w:t xml:space="preserve">2009 až 2011 </w:t>
      </w:r>
      <w:r>
        <w:rPr>
          <w:rFonts w:ascii="Verdana" w:hAnsi="Verdana"/>
          <w:color w:val="FF0000"/>
          <w:sz w:val="22"/>
          <w:szCs w:val="22"/>
          <w:u w:val="single"/>
        </w:rPr>
        <w:t xml:space="preserve"> zjištěn pozitivní nález, </w:t>
      </w:r>
      <w:r>
        <w:rPr>
          <w:rFonts w:ascii="Verdana" w:hAnsi="Verdana"/>
          <w:sz w:val="22"/>
          <w:szCs w:val="22"/>
        </w:rPr>
        <w:t xml:space="preserve">resp. se  objevují stopová množství léků již i </w:t>
      </w:r>
      <w:r>
        <w:rPr>
          <w:rFonts w:ascii="Verdana" w:hAnsi="Verdana"/>
          <w:color w:val="FF0000"/>
          <w:sz w:val="22"/>
          <w:szCs w:val="22"/>
          <w:u w:val="single"/>
        </w:rPr>
        <w:t>ve veřejném vodovodním řádu</w:t>
      </w:r>
      <w:r>
        <w:rPr>
          <w:rFonts w:ascii="Verdana" w:hAnsi="Verdana"/>
          <w:sz w:val="22"/>
          <w:szCs w:val="22"/>
        </w:rPr>
        <w:t xml:space="preserve">. </w:t>
      </w:r>
    </w:p>
    <w:p w:rsidR="00287B1D" w:rsidRDefault="00BB6CB9">
      <w:pPr>
        <w:pStyle w:val="Normlnweb"/>
        <w:spacing w:before="280" w:after="280"/>
        <w:ind w:left="-567" w:firstLine="567"/>
        <w:jc w:val="both"/>
        <w:rPr>
          <w:rFonts w:ascii="Verdana" w:hAnsi="Verdana"/>
          <w:sz w:val="22"/>
          <w:szCs w:val="22"/>
        </w:rPr>
      </w:pPr>
      <w:r>
        <w:rPr>
          <w:rFonts w:ascii="Verdana" w:hAnsi="Verdana"/>
          <w:sz w:val="22"/>
          <w:szCs w:val="22"/>
        </w:rPr>
        <w:t xml:space="preserve">Byl zjištěn výskyt </w:t>
      </w:r>
      <w:r>
        <w:rPr>
          <w:rFonts w:ascii="Verdana" w:hAnsi="Verdana"/>
          <w:i/>
          <w:color w:val="00B050"/>
          <w:sz w:val="22"/>
          <w:szCs w:val="22"/>
          <w:u w:val="single"/>
        </w:rPr>
        <w:t xml:space="preserve">naproxenu, ibuprofenu </w:t>
      </w:r>
      <w:r>
        <w:rPr>
          <w:rFonts w:ascii="Verdana" w:hAnsi="Verdana"/>
          <w:sz w:val="22"/>
          <w:szCs w:val="22"/>
        </w:rPr>
        <w:t xml:space="preserve">a </w:t>
      </w:r>
      <w:r>
        <w:rPr>
          <w:rFonts w:ascii="Verdana" w:hAnsi="Verdana"/>
          <w:i/>
          <w:color w:val="00B050"/>
          <w:sz w:val="22"/>
          <w:szCs w:val="22"/>
          <w:u w:val="single"/>
        </w:rPr>
        <w:t>diclofenacu</w:t>
      </w:r>
      <w:r>
        <w:rPr>
          <w:rFonts w:ascii="Verdana" w:hAnsi="Verdana"/>
          <w:sz w:val="22"/>
          <w:szCs w:val="22"/>
        </w:rPr>
        <w:t xml:space="preserve">, tedy nejčastěji užívaných </w:t>
      </w:r>
      <w:r>
        <w:rPr>
          <w:rFonts w:ascii="Verdana" w:hAnsi="Verdana"/>
          <w:color w:val="0000CC"/>
          <w:sz w:val="22"/>
          <w:szCs w:val="22"/>
        </w:rPr>
        <w:t>protizánětlivých a antirevmatických přípravků</w:t>
      </w:r>
      <w:r>
        <w:rPr>
          <w:rFonts w:ascii="Verdana" w:hAnsi="Verdana"/>
          <w:sz w:val="22"/>
          <w:szCs w:val="22"/>
        </w:rPr>
        <w:t xml:space="preserve">, </w:t>
      </w:r>
      <w:r>
        <w:rPr>
          <w:rFonts w:ascii="Verdana" w:hAnsi="Verdana"/>
          <w:i/>
          <w:color w:val="00B050"/>
          <w:sz w:val="22"/>
          <w:szCs w:val="22"/>
          <w:u w:val="single"/>
        </w:rPr>
        <w:t>carmazepinu</w:t>
      </w:r>
      <w:r>
        <w:rPr>
          <w:rFonts w:ascii="Verdana" w:hAnsi="Verdana"/>
          <w:sz w:val="22"/>
          <w:szCs w:val="22"/>
        </w:rPr>
        <w:t xml:space="preserve"> na léčbu </w:t>
      </w:r>
      <w:r>
        <w:rPr>
          <w:rFonts w:ascii="Verdana" w:hAnsi="Verdana"/>
          <w:color w:val="3333FF"/>
          <w:sz w:val="22"/>
          <w:szCs w:val="22"/>
        </w:rPr>
        <w:t xml:space="preserve">epilepsie </w:t>
      </w:r>
      <w:r>
        <w:rPr>
          <w:rFonts w:ascii="Verdana" w:hAnsi="Verdana"/>
          <w:color w:val="000000" w:themeColor="text1"/>
          <w:sz w:val="22"/>
          <w:szCs w:val="22"/>
        </w:rPr>
        <w:t xml:space="preserve">a </w:t>
      </w:r>
      <w:r>
        <w:rPr>
          <w:rFonts w:ascii="Verdana" w:hAnsi="Verdana"/>
          <w:color w:val="3333FF"/>
          <w:sz w:val="22"/>
          <w:szCs w:val="22"/>
        </w:rPr>
        <w:t xml:space="preserve">hormonálně aktivní látky </w:t>
      </w:r>
      <w:proofErr w:type="gramStart"/>
      <w:r>
        <w:rPr>
          <w:rFonts w:ascii="Verdana" w:hAnsi="Verdana"/>
          <w:i/>
          <w:color w:val="00B050"/>
          <w:sz w:val="22"/>
          <w:szCs w:val="22"/>
          <w:u w:val="single"/>
        </w:rPr>
        <w:t>17α-ethinylestradiolu</w:t>
      </w:r>
      <w:proofErr w:type="gramEnd"/>
      <w:r>
        <w:rPr>
          <w:rFonts w:ascii="Verdana" w:hAnsi="Verdana"/>
          <w:sz w:val="22"/>
          <w:szCs w:val="22"/>
        </w:rPr>
        <w:t xml:space="preserve">, která je součástí </w:t>
      </w:r>
      <w:r>
        <w:rPr>
          <w:rFonts w:ascii="Verdana" w:hAnsi="Verdana"/>
          <w:color w:val="0000CC"/>
          <w:sz w:val="22"/>
          <w:szCs w:val="22"/>
        </w:rPr>
        <w:t>antikoncepčních přípravků</w:t>
      </w:r>
      <w:r>
        <w:rPr>
          <w:rFonts w:ascii="Verdana" w:hAnsi="Verdana"/>
          <w:sz w:val="22"/>
          <w:szCs w:val="22"/>
        </w:rPr>
        <w:t xml:space="preserve">. </w:t>
      </w:r>
    </w:p>
    <w:p w:rsidR="00287B1D" w:rsidRDefault="00BB6CB9">
      <w:pPr>
        <w:pStyle w:val="Normlnweb"/>
        <w:spacing w:before="280" w:after="280"/>
        <w:ind w:left="-567" w:firstLine="567"/>
        <w:jc w:val="both"/>
        <w:rPr>
          <w:rFonts w:ascii="Verdana" w:hAnsi="Verdana"/>
          <w:sz w:val="22"/>
          <w:szCs w:val="22"/>
        </w:rPr>
      </w:pPr>
      <w:r>
        <w:rPr>
          <w:rFonts w:ascii="Verdana" w:hAnsi="Verdana"/>
          <w:sz w:val="22"/>
          <w:szCs w:val="22"/>
        </w:rPr>
        <w:t>Léčivé látky se do pitných vod dostávají hlavně močí a spláchnutím nepoužitých léčiv do záchodu a jejich následnou infiltrací do přírody, jelikož čistírny odpadních vod tyto látky nedokáží separovat.</w:t>
      </w:r>
    </w:p>
    <w:p w:rsidR="00287B1D" w:rsidRDefault="00BB6CB9">
      <w:pPr>
        <w:ind w:left="-567" w:firstLine="567"/>
        <w:jc w:val="both"/>
        <w:rPr>
          <w:u w:val="single"/>
        </w:rPr>
      </w:pPr>
      <w:r>
        <w:t xml:space="preserve">Voda, která k nám mnohdy putuje desítky až stovky kilometrů od své poslední průmyslové úpravy, ze zdrojů </w:t>
      </w:r>
      <w:r>
        <w:rPr>
          <w:color w:val="FF0000"/>
        </w:rPr>
        <w:t xml:space="preserve">s omezeným sledováním parametrů </w:t>
      </w:r>
      <w:r>
        <w:t>a tráví většinu této cesty v potrubí či obalech, je tak vystavována vlivům, které dále ovlivňují její parametry. </w:t>
      </w:r>
      <w:r>
        <w:rPr>
          <w:u w:val="single"/>
        </w:rPr>
        <w:t>Nejvhodnější se tak jeví finální úprava vody přímo u spotřebitele, těsně před konzumací. </w:t>
      </w:r>
    </w:p>
    <w:p w:rsidR="00287B1D" w:rsidRDefault="00287B1D">
      <w:pPr>
        <w:pStyle w:val="Normlnweb"/>
        <w:spacing w:before="280" w:after="280"/>
      </w:pPr>
    </w:p>
    <w:tbl>
      <w:tblPr>
        <w:tblStyle w:val="Mkatabulky"/>
        <w:tblW w:w="9779" w:type="dxa"/>
        <w:tblInd w:w="-567" w:type="dxa"/>
        <w:tblLook w:val="04A0" w:firstRow="1" w:lastRow="0" w:firstColumn="1" w:lastColumn="0" w:noHBand="0" w:noVBand="1"/>
      </w:tblPr>
      <w:tblGrid>
        <w:gridCol w:w="1087"/>
        <w:gridCol w:w="1086"/>
        <w:gridCol w:w="1087"/>
        <w:gridCol w:w="1086"/>
        <w:gridCol w:w="1087"/>
        <w:gridCol w:w="1086"/>
        <w:gridCol w:w="1087"/>
        <w:gridCol w:w="1087"/>
        <w:gridCol w:w="1086"/>
      </w:tblGrid>
      <w:tr w:rsidR="00287B1D">
        <w:tc>
          <w:tcPr>
            <w:tcW w:w="1086" w:type="dxa"/>
          </w:tcPr>
          <w:p w:rsidR="00287B1D" w:rsidRDefault="00BB6CB9">
            <w:pPr>
              <w:spacing w:after="0" w:line="240" w:lineRule="auto"/>
              <w:jc w:val="center"/>
              <w:rPr>
                <w:rFonts w:eastAsia="Times New Roman" w:cs="Times New Roman"/>
                <w:color w:val="000000"/>
                <w:sz w:val="12"/>
                <w:szCs w:val="12"/>
                <w:lang w:eastAsia="cs-CZ"/>
              </w:rPr>
            </w:pPr>
            <w:r>
              <w:rPr>
                <w:rFonts w:eastAsia="Times New Roman" w:cs="Times New Roman"/>
                <w:color w:val="000000"/>
                <w:sz w:val="12"/>
                <w:szCs w:val="12"/>
                <w:lang w:eastAsia="cs-CZ"/>
              </w:rPr>
              <w:t>Filtration size</w:t>
            </w:r>
          </w:p>
        </w:tc>
        <w:tc>
          <w:tcPr>
            <w:tcW w:w="1086" w:type="dxa"/>
          </w:tcPr>
          <w:p w:rsidR="00287B1D" w:rsidRDefault="00BB6CB9">
            <w:pPr>
              <w:spacing w:after="0" w:line="240" w:lineRule="auto"/>
              <w:jc w:val="center"/>
              <w:rPr>
                <w:rFonts w:eastAsia="Times New Roman" w:cs="Times New Roman"/>
                <w:color w:val="000000"/>
                <w:sz w:val="12"/>
                <w:szCs w:val="12"/>
                <w:lang w:eastAsia="cs-CZ"/>
              </w:rPr>
            </w:pPr>
            <w:r>
              <w:rPr>
                <w:rFonts w:eastAsia="Times New Roman" w:cs="Times New Roman"/>
                <w:color w:val="000000"/>
                <w:sz w:val="12"/>
                <w:szCs w:val="12"/>
                <w:lang w:eastAsia="cs-CZ"/>
              </w:rPr>
              <w:t>nanometer</w:t>
            </w:r>
          </w:p>
        </w:tc>
        <w:tc>
          <w:tcPr>
            <w:tcW w:w="1087" w:type="dxa"/>
          </w:tcPr>
          <w:p w:rsidR="00287B1D" w:rsidRDefault="00BB6CB9">
            <w:pPr>
              <w:spacing w:after="0" w:line="240" w:lineRule="auto"/>
              <w:jc w:val="center"/>
              <w:rPr>
                <w:rFonts w:eastAsia="Times New Roman" w:cs="Times New Roman"/>
                <w:color w:val="000000"/>
                <w:sz w:val="12"/>
                <w:szCs w:val="12"/>
                <w:lang w:eastAsia="cs-CZ"/>
              </w:rPr>
            </w:pPr>
            <w:r>
              <w:rPr>
                <w:rFonts w:eastAsia="Times New Roman" w:cs="Times New Roman"/>
                <w:color w:val="000000"/>
                <w:sz w:val="12"/>
                <w:szCs w:val="12"/>
                <w:lang w:eastAsia="cs-CZ"/>
              </w:rPr>
              <w:t>micrometer</w:t>
            </w:r>
          </w:p>
        </w:tc>
        <w:tc>
          <w:tcPr>
            <w:tcW w:w="1086" w:type="dxa"/>
          </w:tcPr>
          <w:p w:rsidR="00287B1D" w:rsidRDefault="00BB6CB9">
            <w:pPr>
              <w:spacing w:after="0" w:line="240" w:lineRule="auto"/>
              <w:jc w:val="center"/>
              <w:rPr>
                <w:rFonts w:eastAsia="Times New Roman" w:cs="Times New Roman"/>
                <w:color w:val="000000"/>
                <w:sz w:val="12"/>
                <w:szCs w:val="12"/>
                <w:lang w:eastAsia="cs-CZ"/>
              </w:rPr>
            </w:pPr>
            <w:r>
              <w:rPr>
                <w:rFonts w:eastAsia="Times New Roman" w:cs="Times New Roman"/>
                <w:color w:val="000000"/>
                <w:sz w:val="12"/>
                <w:szCs w:val="12"/>
                <w:lang w:eastAsia="cs-CZ"/>
              </w:rPr>
              <w:t>water</w:t>
            </w:r>
          </w:p>
        </w:tc>
        <w:tc>
          <w:tcPr>
            <w:tcW w:w="1087" w:type="dxa"/>
          </w:tcPr>
          <w:p w:rsidR="00287B1D" w:rsidRDefault="00BB6CB9">
            <w:pPr>
              <w:spacing w:after="0" w:line="240" w:lineRule="auto"/>
              <w:jc w:val="center"/>
              <w:rPr>
                <w:rFonts w:eastAsia="Times New Roman" w:cs="Times New Roman"/>
                <w:color w:val="000000"/>
                <w:sz w:val="12"/>
                <w:szCs w:val="12"/>
                <w:lang w:eastAsia="cs-CZ"/>
              </w:rPr>
            </w:pPr>
            <w:r>
              <w:rPr>
                <w:rFonts w:eastAsia="Times New Roman" w:cs="Times New Roman"/>
                <w:color w:val="000000"/>
                <w:sz w:val="12"/>
                <w:szCs w:val="12"/>
                <w:lang w:eastAsia="cs-CZ"/>
              </w:rPr>
              <w:t>Monovalent Ionts</w:t>
            </w:r>
          </w:p>
        </w:tc>
        <w:tc>
          <w:tcPr>
            <w:tcW w:w="1086" w:type="dxa"/>
          </w:tcPr>
          <w:p w:rsidR="00287B1D" w:rsidRDefault="00BB6CB9">
            <w:pPr>
              <w:spacing w:after="0" w:line="240" w:lineRule="auto"/>
              <w:jc w:val="center"/>
              <w:rPr>
                <w:rFonts w:eastAsia="Times New Roman" w:cs="Times New Roman"/>
                <w:color w:val="000000"/>
                <w:sz w:val="12"/>
                <w:szCs w:val="12"/>
                <w:lang w:eastAsia="cs-CZ"/>
              </w:rPr>
            </w:pPr>
            <w:r>
              <w:rPr>
                <w:rFonts w:eastAsia="Times New Roman" w:cs="Times New Roman"/>
                <w:color w:val="000000"/>
                <w:sz w:val="12"/>
                <w:szCs w:val="12"/>
                <w:lang w:eastAsia="cs-CZ"/>
              </w:rPr>
              <w:t>Multivalent Ionts  Ca+Mg 0.009 mic</w:t>
            </w:r>
          </w:p>
        </w:tc>
        <w:tc>
          <w:tcPr>
            <w:tcW w:w="1087" w:type="dxa"/>
          </w:tcPr>
          <w:p w:rsidR="00287B1D" w:rsidRDefault="00BB6CB9">
            <w:pPr>
              <w:spacing w:after="0" w:line="240" w:lineRule="auto"/>
              <w:jc w:val="center"/>
              <w:rPr>
                <w:rFonts w:eastAsia="Times New Roman" w:cs="Times New Roman"/>
                <w:color w:val="000000"/>
                <w:sz w:val="12"/>
                <w:szCs w:val="12"/>
                <w:lang w:eastAsia="cs-CZ"/>
              </w:rPr>
            </w:pPr>
            <w:r>
              <w:rPr>
                <w:rFonts w:eastAsia="Times New Roman" w:cs="Times New Roman"/>
                <w:color w:val="000000"/>
                <w:sz w:val="12"/>
                <w:szCs w:val="12"/>
                <w:lang w:eastAsia="cs-CZ"/>
              </w:rPr>
              <w:t>Viruses      0.2 – 0.4 mic</w:t>
            </w:r>
          </w:p>
        </w:tc>
        <w:tc>
          <w:tcPr>
            <w:tcW w:w="1087" w:type="dxa"/>
          </w:tcPr>
          <w:p w:rsidR="00287B1D" w:rsidRDefault="00BB6CB9">
            <w:pPr>
              <w:spacing w:after="0" w:line="240" w:lineRule="auto"/>
              <w:jc w:val="center"/>
              <w:rPr>
                <w:rFonts w:eastAsia="Times New Roman" w:cs="Times New Roman"/>
                <w:color w:val="000000"/>
                <w:sz w:val="12"/>
                <w:szCs w:val="12"/>
                <w:lang w:eastAsia="cs-CZ"/>
              </w:rPr>
            </w:pPr>
            <w:r>
              <w:rPr>
                <w:rFonts w:eastAsia="Times New Roman" w:cs="Times New Roman"/>
                <w:color w:val="000000"/>
                <w:sz w:val="12"/>
                <w:szCs w:val="12"/>
                <w:lang w:eastAsia="cs-CZ"/>
              </w:rPr>
              <w:t>Bacteria      0.4 – 1.0 mic</w:t>
            </w:r>
          </w:p>
        </w:tc>
        <w:tc>
          <w:tcPr>
            <w:tcW w:w="1086" w:type="dxa"/>
          </w:tcPr>
          <w:p w:rsidR="00287B1D" w:rsidRDefault="00BB6CB9">
            <w:pPr>
              <w:spacing w:after="0" w:line="240" w:lineRule="auto"/>
              <w:jc w:val="center"/>
              <w:rPr>
                <w:rFonts w:eastAsia="Times New Roman" w:cs="Times New Roman"/>
                <w:color w:val="000000"/>
                <w:sz w:val="12"/>
                <w:szCs w:val="12"/>
                <w:lang w:eastAsia="cs-CZ"/>
              </w:rPr>
            </w:pPr>
            <w:r>
              <w:rPr>
                <w:rFonts w:eastAsia="Times New Roman" w:cs="Times New Roman"/>
                <w:color w:val="000000"/>
                <w:sz w:val="12"/>
                <w:szCs w:val="12"/>
                <w:lang w:eastAsia="cs-CZ"/>
              </w:rPr>
              <w:t>Suspend solids</w:t>
            </w:r>
          </w:p>
        </w:tc>
      </w:tr>
      <w:tr w:rsidR="00287B1D">
        <w:tc>
          <w:tcPr>
            <w:tcW w:w="1086" w:type="dxa"/>
          </w:tcPr>
          <w:p w:rsidR="00287B1D" w:rsidRDefault="00BB6CB9">
            <w:pPr>
              <w:spacing w:after="0" w:line="240" w:lineRule="auto"/>
              <w:jc w:val="center"/>
              <w:rPr>
                <w:rFonts w:eastAsia="Times New Roman" w:cs="Times New Roman"/>
                <w:color w:val="000000"/>
                <w:sz w:val="13"/>
                <w:szCs w:val="13"/>
                <w:lang w:eastAsia="cs-CZ"/>
              </w:rPr>
            </w:pPr>
            <w:r>
              <w:rPr>
                <w:rFonts w:eastAsia="Times New Roman" w:cs="Times New Roman"/>
                <w:color w:val="000000"/>
                <w:sz w:val="13"/>
                <w:szCs w:val="13"/>
                <w:lang w:eastAsia="cs-CZ"/>
              </w:rPr>
              <w:t>EF kompozit</w:t>
            </w:r>
          </w:p>
        </w:tc>
        <w:tc>
          <w:tcPr>
            <w:tcW w:w="1086" w:type="dxa"/>
          </w:tcPr>
          <w:p w:rsidR="00287B1D" w:rsidRDefault="00BB6CB9">
            <w:pPr>
              <w:spacing w:after="0" w:line="240" w:lineRule="auto"/>
              <w:jc w:val="center"/>
              <w:rPr>
                <w:rFonts w:eastAsia="Times New Roman" w:cs="Times New Roman"/>
                <w:color w:val="000000"/>
                <w:sz w:val="14"/>
                <w:szCs w:val="14"/>
                <w:lang w:eastAsia="cs-CZ"/>
              </w:rPr>
            </w:pPr>
            <w:r>
              <w:rPr>
                <w:rFonts w:eastAsia="Times New Roman" w:cs="Times New Roman"/>
                <w:color w:val="000000"/>
                <w:sz w:val="14"/>
                <w:szCs w:val="14"/>
                <w:lang w:eastAsia="cs-CZ"/>
              </w:rPr>
              <w:t>3.0</w:t>
            </w:r>
          </w:p>
        </w:tc>
        <w:tc>
          <w:tcPr>
            <w:tcW w:w="1087" w:type="dxa"/>
          </w:tcPr>
          <w:p w:rsidR="00287B1D" w:rsidRDefault="00BB6CB9">
            <w:pPr>
              <w:spacing w:after="0" w:line="240" w:lineRule="auto"/>
              <w:jc w:val="center"/>
              <w:rPr>
                <w:rFonts w:eastAsia="Times New Roman" w:cs="Times New Roman"/>
                <w:color w:val="000000"/>
                <w:sz w:val="14"/>
                <w:szCs w:val="14"/>
                <w:lang w:eastAsia="cs-CZ"/>
              </w:rPr>
            </w:pPr>
            <w:r>
              <w:rPr>
                <w:rFonts w:eastAsia="Times New Roman" w:cs="Times New Roman"/>
                <w:color w:val="000000"/>
                <w:sz w:val="14"/>
                <w:szCs w:val="14"/>
                <w:lang w:eastAsia="cs-CZ"/>
              </w:rPr>
              <w:t>0.03-0.003</w:t>
            </w:r>
          </w:p>
        </w:tc>
        <w:tc>
          <w:tcPr>
            <w:tcW w:w="1086" w:type="dxa"/>
          </w:tcPr>
          <w:p w:rsidR="00287B1D" w:rsidRDefault="00BB6CB9">
            <w:pPr>
              <w:spacing w:after="0" w:line="240" w:lineRule="auto"/>
              <w:jc w:val="center"/>
              <w:rPr>
                <w:rFonts w:eastAsia="Times New Roman" w:cs="Times New Roman"/>
                <w:color w:val="000000"/>
                <w:sz w:val="14"/>
                <w:szCs w:val="14"/>
                <w:lang w:eastAsia="cs-CZ"/>
              </w:rPr>
            </w:pPr>
            <w:r>
              <w:rPr>
                <w:rFonts w:ascii="MS Gothic" w:eastAsia="MS Gothic" w:hAnsi="MS Gothic" w:cs="MS Gothic"/>
                <w:color w:val="444444"/>
                <w:sz w:val="14"/>
                <w:szCs w:val="14"/>
                <w:shd w:val="clear" w:color="auto" w:fill="FFFFFF"/>
              </w:rPr>
              <w:t>✓</w:t>
            </w:r>
          </w:p>
        </w:tc>
        <w:tc>
          <w:tcPr>
            <w:tcW w:w="1087" w:type="dxa"/>
          </w:tcPr>
          <w:p w:rsidR="00287B1D" w:rsidRDefault="00BB6CB9">
            <w:pPr>
              <w:spacing w:after="0" w:line="240" w:lineRule="auto"/>
              <w:jc w:val="center"/>
              <w:rPr>
                <w:sz w:val="14"/>
                <w:szCs w:val="14"/>
              </w:rPr>
            </w:pPr>
            <w:r>
              <w:rPr>
                <w:rFonts w:ascii="MS Gothic" w:eastAsia="MS Gothic" w:hAnsi="MS Gothic" w:cs="MS Gothic"/>
                <w:color w:val="444444"/>
                <w:sz w:val="14"/>
                <w:szCs w:val="14"/>
                <w:shd w:val="clear" w:color="auto" w:fill="FFFFFF"/>
              </w:rPr>
              <w:t>✓</w:t>
            </w:r>
          </w:p>
        </w:tc>
        <w:tc>
          <w:tcPr>
            <w:tcW w:w="1086" w:type="dxa"/>
          </w:tcPr>
          <w:p w:rsidR="00287B1D" w:rsidRDefault="00BB6CB9">
            <w:pPr>
              <w:spacing w:after="0" w:line="240" w:lineRule="auto"/>
              <w:jc w:val="center"/>
              <w:rPr>
                <w:rFonts w:eastAsia="Times New Roman" w:cs="Times New Roman"/>
                <w:color w:val="000000"/>
                <w:sz w:val="14"/>
                <w:szCs w:val="14"/>
                <w:lang w:eastAsia="cs-CZ"/>
              </w:rPr>
            </w:pPr>
            <w:r>
              <w:rPr>
                <w:rFonts w:ascii="MS Gothic" w:eastAsia="MS Gothic" w:hAnsi="MS Gothic" w:cs="MS Gothic"/>
                <w:color w:val="444444"/>
                <w:sz w:val="14"/>
                <w:szCs w:val="14"/>
                <w:shd w:val="clear" w:color="auto" w:fill="FFFFFF"/>
              </w:rPr>
              <w:t>✓1/2</w:t>
            </w:r>
          </w:p>
        </w:tc>
        <w:tc>
          <w:tcPr>
            <w:tcW w:w="1087" w:type="dxa"/>
          </w:tcPr>
          <w:p w:rsidR="00287B1D" w:rsidRDefault="00BB6CB9">
            <w:pPr>
              <w:spacing w:after="0" w:line="240" w:lineRule="auto"/>
              <w:jc w:val="center"/>
              <w:rPr>
                <w:rFonts w:eastAsia="MS Gothic" w:cs="Times New Roman"/>
                <w:color w:val="000000"/>
                <w:sz w:val="14"/>
                <w:szCs w:val="14"/>
                <w:lang w:eastAsia="cs-CZ"/>
              </w:rPr>
            </w:pPr>
            <w:r>
              <w:rPr>
                <w:rFonts w:eastAsia="MS Gothic" w:cs="Times New Roman"/>
                <w:color w:val="000000"/>
                <w:sz w:val="14"/>
                <w:szCs w:val="14"/>
                <w:lang w:eastAsia="cs-CZ"/>
              </w:rPr>
              <w:t>X</w:t>
            </w:r>
          </w:p>
        </w:tc>
        <w:tc>
          <w:tcPr>
            <w:tcW w:w="1087" w:type="dxa"/>
          </w:tcPr>
          <w:p w:rsidR="00287B1D" w:rsidRDefault="00BB6CB9">
            <w:pPr>
              <w:spacing w:after="0" w:line="240" w:lineRule="auto"/>
              <w:jc w:val="center"/>
              <w:rPr>
                <w:sz w:val="14"/>
                <w:szCs w:val="14"/>
              </w:rPr>
            </w:pPr>
            <w:r>
              <w:rPr>
                <w:rFonts w:eastAsia="Times New Roman" w:cs="Times New Roman"/>
                <w:color w:val="000000"/>
                <w:sz w:val="14"/>
                <w:szCs w:val="14"/>
                <w:lang w:eastAsia="cs-CZ"/>
              </w:rPr>
              <w:t>X</w:t>
            </w:r>
          </w:p>
        </w:tc>
        <w:tc>
          <w:tcPr>
            <w:tcW w:w="1086" w:type="dxa"/>
          </w:tcPr>
          <w:p w:rsidR="00287B1D" w:rsidRDefault="00BB6CB9">
            <w:pPr>
              <w:spacing w:after="0" w:line="240" w:lineRule="auto"/>
              <w:jc w:val="center"/>
              <w:rPr>
                <w:sz w:val="14"/>
                <w:szCs w:val="14"/>
              </w:rPr>
            </w:pPr>
            <w:r>
              <w:rPr>
                <w:rFonts w:eastAsia="Times New Roman" w:cs="Times New Roman"/>
                <w:color w:val="000000"/>
                <w:sz w:val="14"/>
                <w:szCs w:val="14"/>
                <w:lang w:eastAsia="cs-CZ"/>
              </w:rPr>
              <w:t>X</w:t>
            </w:r>
          </w:p>
        </w:tc>
      </w:tr>
      <w:tr w:rsidR="00287B1D">
        <w:tc>
          <w:tcPr>
            <w:tcW w:w="1086" w:type="dxa"/>
          </w:tcPr>
          <w:p w:rsidR="00287B1D" w:rsidRDefault="00BB6CB9">
            <w:pPr>
              <w:spacing w:after="0" w:line="240" w:lineRule="auto"/>
              <w:jc w:val="center"/>
              <w:rPr>
                <w:rFonts w:eastAsia="Times New Roman" w:cs="Times New Roman"/>
                <w:color w:val="000000"/>
                <w:sz w:val="13"/>
                <w:szCs w:val="13"/>
                <w:lang w:eastAsia="cs-CZ"/>
              </w:rPr>
            </w:pPr>
            <w:r>
              <w:rPr>
                <w:rFonts w:eastAsia="Times New Roman" w:cs="Times New Roman"/>
                <w:color w:val="000000"/>
                <w:sz w:val="13"/>
                <w:szCs w:val="13"/>
                <w:lang w:eastAsia="cs-CZ"/>
              </w:rPr>
              <w:t>NF kompozit</w:t>
            </w:r>
          </w:p>
        </w:tc>
        <w:tc>
          <w:tcPr>
            <w:tcW w:w="1086" w:type="dxa"/>
          </w:tcPr>
          <w:p w:rsidR="00287B1D" w:rsidRDefault="00BB6CB9">
            <w:pPr>
              <w:spacing w:after="0" w:line="240" w:lineRule="auto"/>
              <w:jc w:val="center"/>
              <w:rPr>
                <w:rFonts w:eastAsia="Times New Roman" w:cs="Times New Roman"/>
                <w:color w:val="000000"/>
                <w:sz w:val="14"/>
                <w:szCs w:val="14"/>
                <w:lang w:eastAsia="cs-CZ"/>
              </w:rPr>
            </w:pPr>
            <w:r>
              <w:rPr>
                <w:rFonts w:eastAsia="Times New Roman" w:cs="Times New Roman"/>
                <w:color w:val="000000"/>
                <w:sz w:val="14"/>
                <w:szCs w:val="14"/>
                <w:lang w:eastAsia="cs-CZ"/>
              </w:rPr>
              <w:t>8.0</w:t>
            </w:r>
          </w:p>
        </w:tc>
        <w:tc>
          <w:tcPr>
            <w:tcW w:w="1087" w:type="dxa"/>
          </w:tcPr>
          <w:p w:rsidR="00287B1D" w:rsidRDefault="00BB6CB9">
            <w:pPr>
              <w:spacing w:after="0" w:line="240" w:lineRule="auto"/>
              <w:jc w:val="center"/>
              <w:rPr>
                <w:rFonts w:eastAsia="Times New Roman" w:cs="Times New Roman"/>
                <w:color w:val="000000"/>
                <w:sz w:val="14"/>
                <w:szCs w:val="14"/>
                <w:lang w:eastAsia="cs-CZ"/>
              </w:rPr>
            </w:pPr>
            <w:r>
              <w:rPr>
                <w:rFonts w:eastAsia="Times New Roman" w:cs="Times New Roman"/>
                <w:color w:val="000000"/>
                <w:sz w:val="14"/>
                <w:szCs w:val="14"/>
                <w:lang w:eastAsia="cs-CZ"/>
              </w:rPr>
              <w:t>0.01-0.008</w:t>
            </w:r>
          </w:p>
        </w:tc>
        <w:tc>
          <w:tcPr>
            <w:tcW w:w="1086" w:type="dxa"/>
          </w:tcPr>
          <w:p w:rsidR="00287B1D" w:rsidRDefault="00BB6CB9">
            <w:pPr>
              <w:spacing w:after="0" w:line="240" w:lineRule="auto"/>
              <w:jc w:val="center"/>
              <w:rPr>
                <w:sz w:val="14"/>
                <w:szCs w:val="14"/>
              </w:rPr>
            </w:pPr>
            <w:r>
              <w:rPr>
                <w:rFonts w:ascii="MS Gothic" w:eastAsia="MS Gothic" w:hAnsi="MS Gothic" w:cs="MS Gothic"/>
                <w:color w:val="444444"/>
                <w:sz w:val="14"/>
                <w:szCs w:val="14"/>
                <w:shd w:val="clear" w:color="auto" w:fill="FFFFFF"/>
              </w:rPr>
              <w:t>✓</w:t>
            </w:r>
          </w:p>
        </w:tc>
        <w:tc>
          <w:tcPr>
            <w:tcW w:w="1087" w:type="dxa"/>
          </w:tcPr>
          <w:p w:rsidR="00287B1D" w:rsidRDefault="00BB6CB9">
            <w:pPr>
              <w:spacing w:after="0" w:line="240" w:lineRule="auto"/>
              <w:jc w:val="center"/>
              <w:rPr>
                <w:sz w:val="14"/>
                <w:szCs w:val="14"/>
              </w:rPr>
            </w:pPr>
            <w:r>
              <w:rPr>
                <w:rFonts w:ascii="MS Gothic" w:eastAsia="MS Gothic" w:hAnsi="MS Gothic" w:cs="MS Gothic"/>
                <w:color w:val="444444"/>
                <w:sz w:val="14"/>
                <w:szCs w:val="14"/>
                <w:shd w:val="clear" w:color="auto" w:fill="FFFFFF"/>
              </w:rPr>
              <w:t>✓</w:t>
            </w:r>
          </w:p>
        </w:tc>
        <w:tc>
          <w:tcPr>
            <w:tcW w:w="1086" w:type="dxa"/>
          </w:tcPr>
          <w:p w:rsidR="00287B1D" w:rsidRDefault="00BB6CB9">
            <w:pPr>
              <w:spacing w:after="0" w:line="240" w:lineRule="auto"/>
              <w:jc w:val="center"/>
              <w:rPr>
                <w:rFonts w:eastAsia="Times New Roman" w:cs="Times New Roman"/>
                <w:color w:val="000000"/>
                <w:sz w:val="14"/>
                <w:szCs w:val="14"/>
                <w:lang w:eastAsia="cs-CZ"/>
              </w:rPr>
            </w:pPr>
            <w:r>
              <w:rPr>
                <w:rFonts w:ascii="MS Gothic" w:eastAsia="MS Gothic" w:hAnsi="MS Gothic" w:cs="MS Gothic"/>
                <w:color w:val="444444"/>
                <w:sz w:val="14"/>
                <w:szCs w:val="14"/>
                <w:shd w:val="clear" w:color="auto" w:fill="FFFFFF"/>
              </w:rPr>
              <w:t>✓3/4</w:t>
            </w:r>
          </w:p>
        </w:tc>
        <w:tc>
          <w:tcPr>
            <w:tcW w:w="1087" w:type="dxa"/>
          </w:tcPr>
          <w:p w:rsidR="00287B1D" w:rsidRDefault="00BB6CB9">
            <w:pPr>
              <w:spacing w:after="0" w:line="240" w:lineRule="auto"/>
              <w:jc w:val="center"/>
              <w:rPr>
                <w:rFonts w:eastAsia="Times New Roman" w:cs="Times New Roman"/>
                <w:color w:val="000000"/>
                <w:sz w:val="14"/>
                <w:szCs w:val="14"/>
                <w:lang w:eastAsia="cs-CZ"/>
              </w:rPr>
            </w:pPr>
            <w:r>
              <w:rPr>
                <w:rFonts w:eastAsia="Times New Roman" w:cs="Times New Roman"/>
                <w:color w:val="000000"/>
                <w:sz w:val="14"/>
                <w:szCs w:val="14"/>
                <w:lang w:eastAsia="cs-CZ"/>
              </w:rPr>
              <w:t>X</w:t>
            </w:r>
          </w:p>
        </w:tc>
        <w:tc>
          <w:tcPr>
            <w:tcW w:w="1087" w:type="dxa"/>
          </w:tcPr>
          <w:p w:rsidR="00287B1D" w:rsidRDefault="00BB6CB9">
            <w:pPr>
              <w:spacing w:after="0" w:line="240" w:lineRule="auto"/>
              <w:jc w:val="center"/>
              <w:rPr>
                <w:rFonts w:eastAsia="Times New Roman" w:cs="Times New Roman"/>
                <w:color w:val="000000"/>
                <w:sz w:val="14"/>
                <w:szCs w:val="14"/>
                <w:lang w:eastAsia="cs-CZ"/>
              </w:rPr>
            </w:pPr>
            <w:r>
              <w:rPr>
                <w:rFonts w:eastAsia="Times New Roman" w:cs="Times New Roman"/>
                <w:color w:val="000000"/>
                <w:sz w:val="14"/>
                <w:szCs w:val="14"/>
                <w:lang w:eastAsia="cs-CZ"/>
              </w:rPr>
              <w:t>X</w:t>
            </w:r>
          </w:p>
        </w:tc>
        <w:tc>
          <w:tcPr>
            <w:tcW w:w="1086" w:type="dxa"/>
          </w:tcPr>
          <w:p w:rsidR="00287B1D" w:rsidRDefault="00BB6CB9">
            <w:pPr>
              <w:spacing w:after="0" w:line="240" w:lineRule="auto"/>
              <w:jc w:val="center"/>
              <w:rPr>
                <w:rFonts w:eastAsia="Times New Roman" w:cs="Times New Roman"/>
                <w:color w:val="000000"/>
                <w:sz w:val="14"/>
                <w:szCs w:val="14"/>
                <w:lang w:eastAsia="cs-CZ"/>
              </w:rPr>
            </w:pPr>
            <w:r>
              <w:rPr>
                <w:rFonts w:eastAsia="Times New Roman" w:cs="Times New Roman"/>
                <w:color w:val="000000"/>
                <w:sz w:val="14"/>
                <w:szCs w:val="14"/>
                <w:lang w:eastAsia="cs-CZ"/>
              </w:rPr>
              <w:t>X</w:t>
            </w:r>
          </w:p>
        </w:tc>
      </w:tr>
      <w:tr w:rsidR="00287B1D">
        <w:tc>
          <w:tcPr>
            <w:tcW w:w="1086" w:type="dxa"/>
          </w:tcPr>
          <w:p w:rsidR="00287B1D" w:rsidRDefault="00BB6CB9">
            <w:pPr>
              <w:spacing w:after="0" w:line="240" w:lineRule="auto"/>
              <w:jc w:val="center"/>
              <w:rPr>
                <w:rFonts w:eastAsia="Times New Roman" w:cs="Times New Roman"/>
                <w:color w:val="000000"/>
                <w:sz w:val="13"/>
                <w:szCs w:val="13"/>
                <w:lang w:eastAsia="cs-CZ"/>
              </w:rPr>
            </w:pPr>
            <w:r>
              <w:rPr>
                <w:rFonts w:eastAsia="Times New Roman" w:cs="Times New Roman"/>
                <w:color w:val="000000"/>
                <w:sz w:val="13"/>
                <w:szCs w:val="13"/>
                <w:lang w:eastAsia="cs-CZ"/>
              </w:rPr>
              <w:t>UF HFM</w:t>
            </w:r>
          </w:p>
        </w:tc>
        <w:tc>
          <w:tcPr>
            <w:tcW w:w="1086" w:type="dxa"/>
          </w:tcPr>
          <w:p w:rsidR="00287B1D" w:rsidRDefault="00BB6CB9">
            <w:pPr>
              <w:spacing w:after="0" w:line="240" w:lineRule="auto"/>
              <w:jc w:val="center"/>
              <w:rPr>
                <w:rFonts w:eastAsia="Times New Roman" w:cs="Times New Roman"/>
                <w:color w:val="000000"/>
                <w:sz w:val="14"/>
                <w:szCs w:val="14"/>
                <w:lang w:eastAsia="cs-CZ"/>
              </w:rPr>
            </w:pPr>
            <w:r>
              <w:rPr>
                <w:rFonts w:eastAsia="Times New Roman" w:cs="Times New Roman"/>
                <w:color w:val="000000"/>
                <w:sz w:val="14"/>
                <w:szCs w:val="14"/>
                <w:lang w:eastAsia="cs-CZ"/>
              </w:rPr>
              <w:t>50.0</w:t>
            </w:r>
          </w:p>
        </w:tc>
        <w:tc>
          <w:tcPr>
            <w:tcW w:w="1087" w:type="dxa"/>
          </w:tcPr>
          <w:p w:rsidR="00287B1D" w:rsidRDefault="00BB6CB9">
            <w:pPr>
              <w:spacing w:after="0" w:line="240" w:lineRule="auto"/>
              <w:jc w:val="center"/>
              <w:rPr>
                <w:rFonts w:eastAsia="Times New Roman" w:cs="Times New Roman"/>
                <w:color w:val="000000"/>
                <w:sz w:val="14"/>
                <w:szCs w:val="14"/>
                <w:lang w:eastAsia="cs-CZ"/>
              </w:rPr>
            </w:pPr>
            <w:r>
              <w:rPr>
                <w:rFonts w:eastAsia="Times New Roman" w:cs="Times New Roman"/>
                <w:color w:val="000000"/>
                <w:sz w:val="14"/>
                <w:szCs w:val="14"/>
                <w:lang w:eastAsia="cs-CZ"/>
              </w:rPr>
              <w:t>0.1-0.05</w:t>
            </w:r>
          </w:p>
        </w:tc>
        <w:tc>
          <w:tcPr>
            <w:tcW w:w="1086" w:type="dxa"/>
          </w:tcPr>
          <w:p w:rsidR="00287B1D" w:rsidRDefault="00BB6CB9">
            <w:pPr>
              <w:spacing w:after="0" w:line="240" w:lineRule="auto"/>
              <w:jc w:val="center"/>
              <w:rPr>
                <w:sz w:val="14"/>
                <w:szCs w:val="14"/>
              </w:rPr>
            </w:pPr>
            <w:r>
              <w:rPr>
                <w:rFonts w:ascii="MS Gothic" w:eastAsia="MS Gothic" w:hAnsi="MS Gothic" w:cs="MS Gothic"/>
                <w:color w:val="444444"/>
                <w:sz w:val="14"/>
                <w:szCs w:val="14"/>
                <w:shd w:val="clear" w:color="auto" w:fill="FFFFFF"/>
              </w:rPr>
              <w:t>✓</w:t>
            </w:r>
          </w:p>
        </w:tc>
        <w:tc>
          <w:tcPr>
            <w:tcW w:w="1087" w:type="dxa"/>
          </w:tcPr>
          <w:p w:rsidR="00287B1D" w:rsidRDefault="00BB6CB9">
            <w:pPr>
              <w:spacing w:after="0" w:line="240" w:lineRule="auto"/>
              <w:jc w:val="center"/>
              <w:rPr>
                <w:sz w:val="14"/>
                <w:szCs w:val="14"/>
              </w:rPr>
            </w:pPr>
            <w:r>
              <w:rPr>
                <w:rFonts w:ascii="MS Gothic" w:eastAsia="MS Gothic" w:hAnsi="MS Gothic" w:cs="MS Gothic"/>
                <w:color w:val="444444"/>
                <w:sz w:val="14"/>
                <w:szCs w:val="14"/>
                <w:shd w:val="clear" w:color="auto" w:fill="FFFFFF"/>
              </w:rPr>
              <w:t>✓</w:t>
            </w:r>
          </w:p>
        </w:tc>
        <w:tc>
          <w:tcPr>
            <w:tcW w:w="1086" w:type="dxa"/>
          </w:tcPr>
          <w:p w:rsidR="00287B1D" w:rsidRDefault="00BB6CB9">
            <w:pPr>
              <w:spacing w:after="0" w:line="240" w:lineRule="auto"/>
              <w:jc w:val="center"/>
              <w:rPr>
                <w:rFonts w:eastAsia="Times New Roman" w:cs="Times New Roman"/>
                <w:color w:val="000000"/>
                <w:sz w:val="14"/>
                <w:szCs w:val="14"/>
                <w:lang w:eastAsia="cs-CZ"/>
              </w:rPr>
            </w:pPr>
            <w:r>
              <w:rPr>
                <w:rFonts w:ascii="MS Gothic" w:eastAsia="MS Gothic" w:hAnsi="MS Gothic" w:cs="MS Gothic"/>
                <w:color w:val="444444"/>
                <w:sz w:val="14"/>
                <w:szCs w:val="14"/>
                <w:shd w:val="clear" w:color="auto" w:fill="FFFFFF"/>
              </w:rPr>
              <w:t>✓</w:t>
            </w:r>
          </w:p>
        </w:tc>
        <w:tc>
          <w:tcPr>
            <w:tcW w:w="1087" w:type="dxa"/>
          </w:tcPr>
          <w:p w:rsidR="00287B1D" w:rsidRDefault="00BB6CB9">
            <w:pPr>
              <w:spacing w:after="0" w:line="240" w:lineRule="auto"/>
              <w:jc w:val="center"/>
              <w:rPr>
                <w:rFonts w:eastAsia="Times New Roman" w:cs="Times New Roman"/>
                <w:color w:val="000000"/>
                <w:sz w:val="14"/>
                <w:szCs w:val="14"/>
                <w:lang w:eastAsia="cs-CZ"/>
              </w:rPr>
            </w:pPr>
            <w:r>
              <w:rPr>
                <w:rFonts w:eastAsia="Times New Roman" w:cs="Times New Roman"/>
                <w:color w:val="000000"/>
                <w:sz w:val="14"/>
                <w:szCs w:val="14"/>
                <w:lang w:eastAsia="cs-CZ"/>
              </w:rPr>
              <w:t>X</w:t>
            </w:r>
          </w:p>
        </w:tc>
        <w:tc>
          <w:tcPr>
            <w:tcW w:w="1087" w:type="dxa"/>
          </w:tcPr>
          <w:p w:rsidR="00287B1D" w:rsidRDefault="00BB6CB9">
            <w:pPr>
              <w:spacing w:after="0" w:line="240" w:lineRule="auto"/>
              <w:jc w:val="center"/>
              <w:rPr>
                <w:rFonts w:eastAsia="Times New Roman" w:cs="Times New Roman"/>
                <w:color w:val="000000"/>
                <w:sz w:val="14"/>
                <w:szCs w:val="14"/>
                <w:lang w:eastAsia="cs-CZ"/>
              </w:rPr>
            </w:pPr>
            <w:r>
              <w:rPr>
                <w:rFonts w:eastAsia="Times New Roman" w:cs="Times New Roman"/>
                <w:color w:val="000000"/>
                <w:sz w:val="14"/>
                <w:szCs w:val="14"/>
                <w:lang w:eastAsia="cs-CZ"/>
              </w:rPr>
              <w:t>X</w:t>
            </w:r>
          </w:p>
        </w:tc>
        <w:tc>
          <w:tcPr>
            <w:tcW w:w="1086" w:type="dxa"/>
          </w:tcPr>
          <w:p w:rsidR="00287B1D" w:rsidRDefault="00BB6CB9">
            <w:pPr>
              <w:spacing w:after="0" w:line="240" w:lineRule="auto"/>
              <w:jc w:val="center"/>
              <w:rPr>
                <w:rFonts w:eastAsia="Times New Roman" w:cs="Times New Roman"/>
                <w:color w:val="000000"/>
                <w:sz w:val="14"/>
                <w:szCs w:val="14"/>
                <w:lang w:eastAsia="cs-CZ"/>
              </w:rPr>
            </w:pPr>
            <w:r>
              <w:rPr>
                <w:rFonts w:eastAsia="Times New Roman" w:cs="Times New Roman"/>
                <w:color w:val="000000"/>
                <w:sz w:val="14"/>
                <w:szCs w:val="14"/>
                <w:lang w:eastAsia="cs-CZ"/>
              </w:rPr>
              <w:t>X</w:t>
            </w:r>
          </w:p>
        </w:tc>
      </w:tr>
      <w:tr w:rsidR="00287B1D">
        <w:tc>
          <w:tcPr>
            <w:tcW w:w="1086" w:type="dxa"/>
          </w:tcPr>
          <w:p w:rsidR="00287B1D" w:rsidRDefault="00BB6CB9">
            <w:pPr>
              <w:spacing w:after="0" w:line="240" w:lineRule="auto"/>
              <w:jc w:val="center"/>
              <w:rPr>
                <w:rFonts w:eastAsia="Times New Roman" w:cs="Times New Roman"/>
                <w:color w:val="000000"/>
                <w:sz w:val="13"/>
                <w:szCs w:val="13"/>
                <w:lang w:eastAsia="cs-CZ"/>
              </w:rPr>
            </w:pPr>
            <w:r>
              <w:rPr>
                <w:rFonts w:eastAsia="Times New Roman" w:cs="Times New Roman"/>
                <w:color w:val="000000"/>
                <w:sz w:val="13"/>
                <w:szCs w:val="13"/>
                <w:lang w:eastAsia="cs-CZ"/>
              </w:rPr>
              <w:t>MF PP</w:t>
            </w:r>
          </w:p>
        </w:tc>
        <w:tc>
          <w:tcPr>
            <w:tcW w:w="1086" w:type="dxa"/>
          </w:tcPr>
          <w:p w:rsidR="00287B1D" w:rsidRDefault="00BB6CB9">
            <w:pPr>
              <w:spacing w:after="0" w:line="240" w:lineRule="auto"/>
              <w:jc w:val="center"/>
              <w:rPr>
                <w:rFonts w:eastAsia="Times New Roman" w:cs="Times New Roman"/>
                <w:color w:val="000000"/>
                <w:sz w:val="14"/>
                <w:szCs w:val="14"/>
                <w:lang w:eastAsia="cs-CZ"/>
              </w:rPr>
            </w:pPr>
            <w:r>
              <w:rPr>
                <w:rFonts w:eastAsia="Times New Roman" w:cs="Times New Roman"/>
                <w:color w:val="000000"/>
                <w:sz w:val="14"/>
                <w:szCs w:val="14"/>
                <w:lang w:eastAsia="cs-CZ"/>
              </w:rPr>
              <w:t>100.0</w:t>
            </w:r>
          </w:p>
        </w:tc>
        <w:tc>
          <w:tcPr>
            <w:tcW w:w="1087" w:type="dxa"/>
          </w:tcPr>
          <w:p w:rsidR="00287B1D" w:rsidRDefault="00BB6CB9">
            <w:pPr>
              <w:spacing w:after="0" w:line="240" w:lineRule="auto"/>
              <w:jc w:val="center"/>
              <w:rPr>
                <w:rFonts w:eastAsia="Times New Roman" w:cs="Times New Roman"/>
                <w:color w:val="000000"/>
                <w:sz w:val="14"/>
                <w:szCs w:val="14"/>
                <w:lang w:eastAsia="cs-CZ"/>
              </w:rPr>
            </w:pPr>
            <w:r>
              <w:rPr>
                <w:rFonts w:eastAsia="Times New Roman" w:cs="Times New Roman"/>
                <w:color w:val="000000"/>
                <w:sz w:val="14"/>
                <w:szCs w:val="14"/>
                <w:lang w:eastAsia="cs-CZ"/>
              </w:rPr>
              <w:t>&gt;0.1</w:t>
            </w:r>
          </w:p>
        </w:tc>
        <w:tc>
          <w:tcPr>
            <w:tcW w:w="1086" w:type="dxa"/>
          </w:tcPr>
          <w:p w:rsidR="00287B1D" w:rsidRDefault="00BB6CB9">
            <w:pPr>
              <w:spacing w:after="0" w:line="240" w:lineRule="auto"/>
              <w:jc w:val="center"/>
              <w:rPr>
                <w:sz w:val="14"/>
                <w:szCs w:val="14"/>
              </w:rPr>
            </w:pPr>
            <w:r>
              <w:rPr>
                <w:rFonts w:ascii="MS Gothic" w:eastAsia="MS Gothic" w:hAnsi="MS Gothic" w:cs="MS Gothic"/>
                <w:color w:val="444444"/>
                <w:sz w:val="14"/>
                <w:szCs w:val="14"/>
                <w:shd w:val="clear" w:color="auto" w:fill="FFFFFF"/>
              </w:rPr>
              <w:t>✓</w:t>
            </w:r>
          </w:p>
        </w:tc>
        <w:tc>
          <w:tcPr>
            <w:tcW w:w="1087" w:type="dxa"/>
          </w:tcPr>
          <w:p w:rsidR="00287B1D" w:rsidRDefault="00BB6CB9">
            <w:pPr>
              <w:spacing w:after="0" w:line="240" w:lineRule="auto"/>
              <w:jc w:val="center"/>
              <w:rPr>
                <w:sz w:val="14"/>
                <w:szCs w:val="14"/>
              </w:rPr>
            </w:pPr>
            <w:r>
              <w:rPr>
                <w:rFonts w:ascii="MS Gothic" w:eastAsia="MS Gothic" w:hAnsi="MS Gothic" w:cs="MS Gothic"/>
                <w:color w:val="444444"/>
                <w:sz w:val="14"/>
                <w:szCs w:val="14"/>
                <w:shd w:val="clear" w:color="auto" w:fill="FFFFFF"/>
              </w:rPr>
              <w:t>✓</w:t>
            </w:r>
          </w:p>
        </w:tc>
        <w:tc>
          <w:tcPr>
            <w:tcW w:w="1086" w:type="dxa"/>
          </w:tcPr>
          <w:p w:rsidR="00287B1D" w:rsidRDefault="00BB6CB9">
            <w:pPr>
              <w:spacing w:after="0" w:line="240" w:lineRule="auto"/>
              <w:jc w:val="center"/>
              <w:rPr>
                <w:rFonts w:eastAsia="Times New Roman" w:cs="Times New Roman"/>
                <w:color w:val="000000"/>
                <w:sz w:val="14"/>
                <w:szCs w:val="14"/>
                <w:lang w:eastAsia="cs-CZ"/>
              </w:rPr>
            </w:pPr>
            <w:r>
              <w:rPr>
                <w:rFonts w:ascii="MS Gothic" w:eastAsia="MS Gothic" w:hAnsi="MS Gothic" w:cs="MS Gothic"/>
                <w:color w:val="444444"/>
                <w:sz w:val="14"/>
                <w:szCs w:val="14"/>
                <w:shd w:val="clear" w:color="auto" w:fill="FFFFFF"/>
              </w:rPr>
              <w:t>✓</w:t>
            </w:r>
          </w:p>
        </w:tc>
        <w:tc>
          <w:tcPr>
            <w:tcW w:w="1087" w:type="dxa"/>
          </w:tcPr>
          <w:p w:rsidR="00287B1D" w:rsidRDefault="00BB6CB9">
            <w:pPr>
              <w:spacing w:after="0" w:line="240" w:lineRule="auto"/>
              <w:jc w:val="center"/>
              <w:rPr>
                <w:rFonts w:eastAsia="Times New Roman" w:cs="Times New Roman"/>
                <w:color w:val="000000"/>
                <w:sz w:val="14"/>
                <w:szCs w:val="14"/>
                <w:lang w:eastAsia="cs-CZ"/>
              </w:rPr>
            </w:pPr>
            <w:r>
              <w:rPr>
                <w:rFonts w:ascii="MS Gothic" w:eastAsia="MS Gothic" w:hAnsi="MS Gothic" w:cs="MS Gothic"/>
                <w:color w:val="444444"/>
                <w:sz w:val="14"/>
                <w:szCs w:val="14"/>
                <w:shd w:val="clear" w:color="auto" w:fill="FFFFFF"/>
              </w:rPr>
              <w:t>✓</w:t>
            </w:r>
          </w:p>
        </w:tc>
        <w:tc>
          <w:tcPr>
            <w:tcW w:w="1087" w:type="dxa"/>
          </w:tcPr>
          <w:p w:rsidR="00287B1D" w:rsidRDefault="00BB6CB9">
            <w:pPr>
              <w:spacing w:after="0" w:line="240" w:lineRule="auto"/>
              <w:jc w:val="center"/>
              <w:rPr>
                <w:sz w:val="14"/>
                <w:szCs w:val="14"/>
              </w:rPr>
            </w:pPr>
            <w:r>
              <w:rPr>
                <w:rFonts w:eastAsia="Times New Roman" w:cs="Times New Roman"/>
                <w:color w:val="000000"/>
                <w:sz w:val="14"/>
                <w:szCs w:val="14"/>
                <w:lang w:eastAsia="cs-CZ"/>
              </w:rPr>
              <w:t>X</w:t>
            </w:r>
          </w:p>
        </w:tc>
        <w:tc>
          <w:tcPr>
            <w:tcW w:w="1086" w:type="dxa"/>
          </w:tcPr>
          <w:p w:rsidR="00287B1D" w:rsidRDefault="00BB6CB9">
            <w:pPr>
              <w:spacing w:after="0" w:line="240" w:lineRule="auto"/>
              <w:jc w:val="center"/>
              <w:rPr>
                <w:sz w:val="14"/>
                <w:szCs w:val="14"/>
              </w:rPr>
            </w:pPr>
            <w:r>
              <w:rPr>
                <w:rFonts w:eastAsia="Times New Roman" w:cs="Times New Roman"/>
                <w:color w:val="000000"/>
                <w:sz w:val="14"/>
                <w:szCs w:val="14"/>
                <w:lang w:eastAsia="cs-CZ"/>
              </w:rPr>
              <w:t>X</w:t>
            </w:r>
          </w:p>
        </w:tc>
      </w:tr>
    </w:tbl>
    <w:p w:rsidR="00287B1D" w:rsidRDefault="00BB6CB9">
      <w:pPr>
        <w:rPr>
          <w:rFonts w:ascii="MS Gothic" w:eastAsia="MS Gothic" w:hAnsi="MS Gothic" w:cs="MS Gothic"/>
          <w:color w:val="444444"/>
          <w:sz w:val="14"/>
          <w:szCs w:val="14"/>
          <w:highlight w:val="white"/>
        </w:rPr>
      </w:pPr>
      <w:r>
        <w:rPr>
          <w:rFonts w:ascii="MS Gothic" w:eastAsia="MS Gothic" w:hAnsi="MS Gothic" w:cs="MS Gothic"/>
          <w:color w:val="444444"/>
          <w:sz w:val="14"/>
          <w:szCs w:val="14"/>
          <w:shd w:val="clear" w:color="auto" w:fill="FFFFFF"/>
        </w:rPr>
        <w:t xml:space="preserve">✓ </w:t>
      </w:r>
      <w:r>
        <w:rPr>
          <w:rFonts w:eastAsia="MS Gothic" w:cs="MS Gothic"/>
          <w:color w:val="444444"/>
          <w:sz w:val="14"/>
          <w:szCs w:val="14"/>
          <w:shd w:val="clear" w:color="auto" w:fill="FFFFFF"/>
        </w:rPr>
        <w:t xml:space="preserve">= </w:t>
      </w:r>
      <w:proofErr w:type="gramStart"/>
      <w:r>
        <w:rPr>
          <w:rFonts w:eastAsia="MS Gothic" w:cs="MS Gothic"/>
          <w:color w:val="444444"/>
          <w:sz w:val="14"/>
          <w:szCs w:val="14"/>
          <w:shd w:val="clear" w:color="auto" w:fill="FFFFFF"/>
        </w:rPr>
        <w:t xml:space="preserve">prochází ; </w:t>
      </w:r>
      <w:r>
        <w:rPr>
          <w:rFonts w:eastAsia="MS Gothic" w:cs="Times New Roman"/>
          <w:color w:val="000000"/>
          <w:sz w:val="14"/>
          <w:szCs w:val="14"/>
          <w:lang w:eastAsia="cs-CZ"/>
        </w:rPr>
        <w:t>X = neprochází</w:t>
      </w:r>
      <w:proofErr w:type="gramEnd"/>
    </w:p>
    <w:p w:rsidR="00287B1D" w:rsidRDefault="00BB6CB9">
      <w:pPr>
        <w:jc w:val="center"/>
        <w:rPr>
          <w:rFonts w:eastAsia="Times New Roman" w:cs="Times New Roman"/>
          <w:color w:val="000000"/>
          <w:sz w:val="14"/>
          <w:szCs w:val="14"/>
          <w:lang w:eastAsia="cs-CZ"/>
        </w:rPr>
      </w:pPr>
      <w:proofErr w:type="gramStart"/>
      <w:r>
        <w:rPr>
          <w:rFonts w:eastAsia="Times New Roman" w:cs="Times New Roman"/>
          <w:color w:val="000000"/>
          <w:sz w:val="14"/>
          <w:szCs w:val="14"/>
          <w:lang w:eastAsia="cs-CZ"/>
        </w:rPr>
        <w:t>Obr.3;</w:t>
      </w:r>
      <w:proofErr w:type="gramEnd"/>
      <w:r>
        <w:rPr>
          <w:rFonts w:eastAsia="Times New Roman" w:cs="Times New Roman"/>
          <w:color w:val="000000"/>
          <w:sz w:val="14"/>
          <w:szCs w:val="14"/>
          <w:lang w:eastAsia="cs-CZ"/>
        </w:rPr>
        <w:t xml:space="preserve"> </w:t>
      </w:r>
      <w:proofErr w:type="gramStart"/>
      <w:r>
        <w:rPr>
          <w:rFonts w:eastAsia="Times New Roman" w:cs="Times New Roman"/>
          <w:color w:val="000000"/>
          <w:sz w:val="14"/>
          <w:szCs w:val="14"/>
          <w:lang w:eastAsia="cs-CZ"/>
        </w:rPr>
        <w:t>tab.1 filtrační</w:t>
      </w:r>
      <w:proofErr w:type="gramEnd"/>
      <w:r>
        <w:rPr>
          <w:rFonts w:eastAsia="Times New Roman" w:cs="Times New Roman"/>
          <w:color w:val="000000"/>
          <w:sz w:val="14"/>
          <w:szCs w:val="14"/>
          <w:lang w:eastAsia="cs-CZ"/>
        </w:rPr>
        <w:t xml:space="preserve"> schopnosti  AQ3 Mini </w:t>
      </w:r>
    </w:p>
    <w:p w:rsidR="00287B1D" w:rsidRDefault="00BB6CB9">
      <w:pPr>
        <w:ind w:left="-567" w:right="284"/>
        <w:jc w:val="center"/>
        <w:rPr>
          <w:b/>
          <w:i/>
          <w:color w:val="FF0000"/>
          <w:u w:val="single"/>
        </w:rPr>
      </w:pPr>
      <w:r>
        <w:rPr>
          <w:b/>
          <w:i/>
          <w:color w:val="FF0000"/>
          <w:u w:val="single"/>
        </w:rPr>
        <w:t xml:space="preserve">ad 3) Popis funkce poměrového ventilu a iontové optimalizace </w:t>
      </w:r>
    </w:p>
    <w:p w:rsidR="00287B1D" w:rsidRDefault="00BB6CB9">
      <w:pPr>
        <w:spacing w:after="0"/>
        <w:ind w:left="-567" w:right="283" w:firstLine="1275"/>
        <w:jc w:val="both"/>
        <w:rPr>
          <w:rFonts w:eastAsia="Times New Roman" w:cs="Times New Roman"/>
          <w:b/>
          <w:lang w:eastAsia="cs-CZ"/>
        </w:rPr>
      </w:pPr>
      <w:r>
        <w:rPr>
          <w:rFonts w:eastAsia="Times New Roman" w:cs="Times New Roman"/>
          <w:highlight w:val="yellow"/>
          <w:lang w:eastAsia="cs-CZ"/>
        </w:rPr>
        <w:t xml:space="preserve">Aby byla dodržena u různých kombinačních balíčků mimo </w:t>
      </w:r>
      <w:r>
        <w:rPr>
          <w:rFonts w:eastAsia="Times New Roman" w:cs="Times New Roman"/>
          <w:lang w:eastAsia="cs-CZ"/>
        </w:rPr>
        <w:t>(</w:t>
      </w:r>
      <w:r>
        <w:rPr>
          <w:b/>
          <w:color w:val="6600CC"/>
        </w:rPr>
        <w:t>Basic/Standard/</w:t>
      </w:r>
      <w:r>
        <w:rPr>
          <w:color w:val="6600CC"/>
        </w:rPr>
        <w:t xml:space="preserve"> </w:t>
      </w:r>
      <w:r>
        <w:rPr>
          <w:b/>
          <w:color w:val="3333CC"/>
        </w:rPr>
        <w:t>Exclusive</w:t>
      </w:r>
      <w:r>
        <w:rPr>
          <w:b/>
          <w:color w:val="6600FF"/>
        </w:rPr>
        <w:t>/</w:t>
      </w:r>
      <w:r>
        <w:rPr>
          <w:b/>
          <w:color w:val="6600CC"/>
        </w:rPr>
        <w:t>Café</w:t>
      </w:r>
      <w:r>
        <w:rPr>
          <w:color w:val="6600CC"/>
        </w:rPr>
        <w:t xml:space="preserve"> </w:t>
      </w:r>
      <w:r>
        <w:rPr>
          <w:color w:val="6600FF"/>
        </w:rPr>
        <w:t>Standard</w:t>
      </w:r>
      <w:r>
        <w:rPr>
          <w:color w:val="6600CC"/>
        </w:rPr>
        <w:t>/</w:t>
      </w:r>
      <w:r>
        <w:rPr>
          <w:b/>
          <w:color w:val="6600CC"/>
        </w:rPr>
        <w:t>Café</w:t>
      </w:r>
      <w:r>
        <w:rPr>
          <w:color w:val="6600CC"/>
        </w:rPr>
        <w:t xml:space="preserve"> </w:t>
      </w:r>
      <w:r>
        <w:rPr>
          <w:color w:val="6600FF"/>
        </w:rPr>
        <w:t xml:space="preserve">Exclusive </w:t>
      </w:r>
      <w:r>
        <w:rPr>
          <w:color w:val="FF0000"/>
        </w:rPr>
        <w:t xml:space="preserve">č.CP21-001 </w:t>
      </w:r>
      <w:r>
        <w:rPr>
          <w:i/>
          <w:color w:val="00B050"/>
          <w:u w:val="single"/>
        </w:rPr>
        <w:t xml:space="preserve">kde se naopak hodnoty Ca + Mg  </w:t>
      </w:r>
      <w:proofErr w:type="gramStart"/>
      <w:r>
        <w:rPr>
          <w:i/>
          <w:color w:val="00B050"/>
          <w:u w:val="single"/>
        </w:rPr>
        <w:t>plánovitě  snižují</w:t>
      </w:r>
      <w:proofErr w:type="gramEnd"/>
      <w:r>
        <w:rPr>
          <w:i/>
          <w:color w:val="00B050"/>
          <w:u w:val="single"/>
        </w:rPr>
        <w:t>)</w:t>
      </w:r>
      <w:r>
        <w:rPr>
          <w:color w:val="FF0000"/>
        </w:rPr>
        <w:t xml:space="preserve"> </w:t>
      </w:r>
      <w:r>
        <w:rPr>
          <w:rFonts w:eastAsia="Times New Roman" w:cs="Times New Roman"/>
          <w:lang w:eastAsia="cs-CZ"/>
        </w:rPr>
        <w:t>požadovaná hladina prospěšných minerálních látek, (obecně považovaná za optimální hodnotu rozpuštěných látek v litru pitné vody), je ve filtrační technologii integrovaná tzv.   „</w:t>
      </w:r>
      <w:r>
        <w:rPr>
          <w:rFonts w:eastAsia="Times New Roman" w:cs="Times New Roman"/>
          <w:highlight w:val="green"/>
          <w:lang w:eastAsia="cs-CZ"/>
        </w:rPr>
        <w:t>iontová optimalizace</w:t>
      </w:r>
      <w:r>
        <w:rPr>
          <w:rFonts w:eastAsia="Times New Roman" w:cs="Times New Roman"/>
          <w:lang w:eastAsia="cs-CZ"/>
        </w:rPr>
        <w:t xml:space="preserve">“, která    případně naměřené  rozdíly (které jsou v různých státech odlišné), dokáže jemně dorovnat. Jedná se o komponenty, </w:t>
      </w:r>
      <w:proofErr w:type="gramStart"/>
      <w:r>
        <w:rPr>
          <w:rFonts w:eastAsia="Times New Roman" w:cs="Times New Roman"/>
          <w:lang w:eastAsia="cs-CZ"/>
        </w:rPr>
        <w:t>označené  v hydraulickém</w:t>
      </w:r>
      <w:proofErr w:type="gramEnd"/>
      <w:r>
        <w:rPr>
          <w:rFonts w:eastAsia="Times New Roman" w:cs="Times New Roman"/>
          <w:lang w:eastAsia="cs-CZ"/>
        </w:rPr>
        <w:t xml:space="preserve"> separačním schématu položkami </w:t>
      </w:r>
      <w:r>
        <w:rPr>
          <w:rFonts w:eastAsia="Times New Roman" w:cs="Times New Roman"/>
          <w:b/>
          <w:lang w:eastAsia="cs-CZ"/>
        </w:rPr>
        <w:t>K4</w:t>
      </w:r>
      <w:r>
        <w:rPr>
          <w:rFonts w:eastAsia="Times New Roman" w:cs="Times New Roman"/>
          <w:lang w:eastAsia="cs-CZ"/>
        </w:rPr>
        <w:t xml:space="preserve">, </w:t>
      </w:r>
      <w:r>
        <w:rPr>
          <w:rFonts w:eastAsia="Times New Roman" w:cs="Times New Roman"/>
          <w:b/>
          <w:lang w:eastAsia="cs-CZ"/>
        </w:rPr>
        <w:t>B4</w:t>
      </w:r>
      <w:r>
        <w:rPr>
          <w:rFonts w:eastAsia="Times New Roman" w:cs="Times New Roman"/>
          <w:lang w:eastAsia="cs-CZ"/>
        </w:rPr>
        <w:t xml:space="preserve">, </w:t>
      </w:r>
      <w:r>
        <w:rPr>
          <w:rFonts w:eastAsia="Times New Roman" w:cs="Times New Roman"/>
          <w:b/>
          <w:lang w:eastAsia="cs-CZ"/>
        </w:rPr>
        <w:t>B5</w:t>
      </w:r>
      <w:r>
        <w:rPr>
          <w:rFonts w:eastAsia="Times New Roman" w:cs="Times New Roman"/>
          <w:lang w:eastAsia="cs-CZ"/>
        </w:rPr>
        <w:t xml:space="preserve">, </w:t>
      </w:r>
      <w:r>
        <w:rPr>
          <w:rFonts w:eastAsia="Times New Roman" w:cs="Times New Roman"/>
          <w:b/>
          <w:lang w:eastAsia="cs-CZ"/>
        </w:rPr>
        <w:t>K5.</w:t>
      </w:r>
    </w:p>
    <w:p w:rsidR="00287B1D" w:rsidRDefault="00BB6CB9">
      <w:pPr>
        <w:spacing w:after="0"/>
        <w:ind w:left="-567" w:right="283" w:firstLine="1275"/>
        <w:jc w:val="both"/>
        <w:rPr>
          <w:rFonts w:eastAsia="Times New Roman" w:cs="Times New Roman"/>
          <w:b/>
          <w:lang w:eastAsia="cs-CZ"/>
        </w:rPr>
      </w:pPr>
      <w:r>
        <w:rPr>
          <w:rFonts w:eastAsia="Times New Roman" w:cs="Times New Roman"/>
          <w:b/>
          <w:lang w:eastAsia="cs-CZ"/>
        </w:rPr>
        <w:t xml:space="preserve"> </w:t>
      </w:r>
    </w:p>
    <w:p w:rsidR="00287B1D" w:rsidRDefault="00BB6CB9">
      <w:pPr>
        <w:ind w:left="-567" w:right="284" w:firstLine="708"/>
        <w:jc w:val="both"/>
      </w:pPr>
      <w:r>
        <w:rPr>
          <w:rFonts w:eastAsia="Times New Roman" w:cs="Times New Roman"/>
          <w:lang w:eastAsia="cs-CZ"/>
        </w:rPr>
        <w:lastRenderedPageBreak/>
        <w:t xml:space="preserve">Aby bylo možné optimalizovat výstupní ionty, je nejdříve nutné, nastavit  poměrový ventil </w:t>
      </w:r>
      <w:r>
        <w:rPr>
          <w:rFonts w:eastAsia="Times New Roman" w:cs="Times New Roman"/>
          <w:b/>
          <w:lang w:eastAsia="cs-CZ"/>
        </w:rPr>
        <w:t xml:space="preserve">C2 </w:t>
      </w:r>
      <w:r>
        <w:rPr>
          <w:rFonts w:eastAsia="Times New Roman" w:cs="Times New Roman"/>
          <w:lang w:eastAsia="cs-CZ"/>
        </w:rPr>
        <w:t xml:space="preserve">na poměr permeátu a retenátu </w:t>
      </w:r>
      <w:r>
        <w:t xml:space="preserve">~ </w:t>
      </w:r>
      <w:r>
        <w:rPr>
          <w:b/>
        </w:rPr>
        <w:t xml:space="preserve">4 </w:t>
      </w:r>
      <w:r>
        <w:t>až</w:t>
      </w:r>
      <w:r>
        <w:rPr>
          <w:b/>
        </w:rPr>
        <w:t xml:space="preserve"> 6 : 1</w:t>
      </w:r>
      <w:r>
        <w:t>(</w:t>
      </w:r>
      <w:r>
        <w:rPr>
          <w:rFonts w:eastAsia="Times New Roman" w:cs="Times New Roman"/>
          <w:lang w:eastAsia="cs-CZ"/>
        </w:rPr>
        <w:t xml:space="preserve">dosažený poměr ovlivňuje vstupní tlak vody </w:t>
      </w:r>
      <w:r>
        <w:t xml:space="preserve">od </w:t>
      </w:r>
      <w:r>
        <w:rPr>
          <w:b/>
        </w:rPr>
        <w:t>2</w:t>
      </w:r>
      <w:r>
        <w:t xml:space="preserve"> do </w:t>
      </w:r>
      <w:r>
        <w:rPr>
          <w:b/>
        </w:rPr>
        <w:t xml:space="preserve">6 </w:t>
      </w:r>
      <w:r>
        <w:t xml:space="preserve">bar (30 ~ 100 Psi) a vstupní teplota vody  od </w:t>
      </w:r>
      <w:r>
        <w:rPr>
          <w:b/>
        </w:rPr>
        <w:t xml:space="preserve">10 </w:t>
      </w:r>
      <w:r>
        <w:t xml:space="preserve">do </w:t>
      </w:r>
      <w:r>
        <w:rPr>
          <w:b/>
        </w:rPr>
        <w:t>30</w:t>
      </w:r>
      <w:r>
        <w:t xml:space="preserve"> </w:t>
      </w:r>
      <w:r>
        <w:rPr>
          <w:vertAlign w:val="superscript"/>
        </w:rPr>
        <w:t>o</w:t>
      </w:r>
      <w:r>
        <w:t xml:space="preserve">C, viz korekční tabulka </w:t>
      </w:r>
      <w:r>
        <w:rPr>
          <w:color w:val="FF0000"/>
        </w:rPr>
        <w:t>ad17)</w:t>
      </w:r>
      <w:r>
        <w:t xml:space="preserve"> </w:t>
      </w:r>
      <w:proofErr w:type="gramStart"/>
      <w:r>
        <w:t>str.20</w:t>
      </w:r>
      <w:proofErr w:type="gramEnd"/>
      <w:r>
        <w:t xml:space="preserve">, Obr.33; </w:t>
      </w:r>
      <w:proofErr w:type="gramStart"/>
      <w:r>
        <w:t>Tab.3</w:t>
      </w:r>
      <w:r>
        <w:rPr>
          <w:rFonts w:eastAsia="Times New Roman" w:cs="Times New Roman"/>
          <w:lang w:eastAsia="cs-CZ"/>
        </w:rPr>
        <w:t>).</w:t>
      </w:r>
      <w:proofErr w:type="gramEnd"/>
      <w:r>
        <w:rPr>
          <w:rFonts w:eastAsia="Times New Roman" w:cs="Times New Roman"/>
          <w:lang w:eastAsia="cs-CZ"/>
        </w:rPr>
        <w:t xml:space="preserve">  Tento poměr zaznamenává </w:t>
      </w:r>
      <w:r>
        <w:rPr>
          <w:rFonts w:eastAsia="Times New Roman" w:cs="Times New Roman"/>
          <w:b/>
          <w:lang w:eastAsia="cs-CZ"/>
        </w:rPr>
        <w:t>RDM_2b</w:t>
      </w:r>
      <w:r>
        <w:rPr>
          <w:rFonts w:eastAsia="Times New Roman" w:cs="Times New Roman"/>
          <w:vertAlign w:val="superscript"/>
          <w:lang w:eastAsia="cs-CZ"/>
        </w:rPr>
        <w:t>f)</w:t>
      </w:r>
      <w:r>
        <w:rPr>
          <w:rFonts w:eastAsia="Times New Roman" w:cs="Times New Roman"/>
          <w:lang w:eastAsia="cs-CZ"/>
        </w:rPr>
        <w:t xml:space="preserve"> pomocí </w:t>
      </w:r>
      <w:r>
        <w:rPr>
          <w:rFonts w:eastAsia="Times New Roman" w:cs="Times New Roman"/>
          <w:b/>
          <w:lang w:eastAsia="cs-CZ"/>
        </w:rPr>
        <w:t>FM</w:t>
      </w:r>
      <w:r w:rsidR="00D26632">
        <w:rPr>
          <w:rFonts w:eastAsia="Times New Roman" w:cs="Times New Roman"/>
          <w:b/>
          <w:lang w:eastAsia="cs-CZ"/>
        </w:rPr>
        <w:t>0</w:t>
      </w:r>
      <w:r>
        <w:rPr>
          <w:rFonts w:eastAsia="Times New Roman" w:cs="Times New Roman"/>
          <w:b/>
          <w:lang w:eastAsia="cs-CZ"/>
        </w:rPr>
        <w:t>, FM</w:t>
      </w:r>
      <w:r w:rsidR="00D26632">
        <w:rPr>
          <w:rFonts w:eastAsia="Times New Roman" w:cs="Times New Roman"/>
          <w:b/>
          <w:lang w:eastAsia="cs-CZ"/>
        </w:rPr>
        <w:t>1</w:t>
      </w:r>
      <w:r>
        <w:rPr>
          <w:rFonts w:eastAsia="Times New Roman" w:cs="Times New Roman"/>
          <w:b/>
          <w:lang w:eastAsia="cs-CZ"/>
        </w:rPr>
        <w:t>, (FM</w:t>
      </w:r>
      <w:r w:rsidR="00D26632">
        <w:rPr>
          <w:rFonts w:eastAsia="Times New Roman" w:cs="Times New Roman"/>
          <w:b/>
          <w:lang w:eastAsia="cs-CZ"/>
        </w:rPr>
        <w:t>2</w:t>
      </w:r>
      <w:r>
        <w:rPr>
          <w:rFonts w:eastAsia="Times New Roman" w:cs="Times New Roman"/>
          <w:b/>
          <w:lang w:eastAsia="cs-CZ"/>
        </w:rPr>
        <w:t xml:space="preserve"> </w:t>
      </w:r>
      <w:r>
        <w:rPr>
          <w:rFonts w:eastAsia="Times New Roman" w:cs="Times New Roman"/>
          <w:lang w:eastAsia="cs-CZ"/>
        </w:rPr>
        <w:t>u standardu</w:t>
      </w:r>
      <w:r>
        <w:rPr>
          <w:rFonts w:eastAsia="Times New Roman" w:cs="Times New Roman"/>
          <w:b/>
          <w:lang w:eastAsia="cs-CZ"/>
        </w:rPr>
        <w:t>) PS</w:t>
      </w:r>
      <w:r w:rsidR="00D26632">
        <w:rPr>
          <w:rFonts w:eastAsia="Times New Roman" w:cs="Times New Roman"/>
          <w:b/>
          <w:lang w:eastAsia="cs-CZ"/>
        </w:rPr>
        <w:t>0</w:t>
      </w:r>
      <w:r>
        <w:rPr>
          <w:rFonts w:eastAsia="Times New Roman" w:cs="Times New Roman"/>
          <w:b/>
          <w:lang w:eastAsia="cs-CZ"/>
        </w:rPr>
        <w:t xml:space="preserve">, </w:t>
      </w:r>
      <w:r>
        <w:rPr>
          <w:rFonts w:eastAsia="Times New Roman" w:cs="Times New Roman"/>
          <w:lang w:eastAsia="cs-CZ"/>
        </w:rPr>
        <w:t>který následně regulaci vizualizuje pomocí grafu nebo tabulky.</w:t>
      </w:r>
      <w:r>
        <w:rPr>
          <w:rFonts w:eastAsia="Times New Roman" w:cs="Times New Roman"/>
          <w:b/>
          <w:lang w:eastAsia="cs-CZ"/>
        </w:rPr>
        <w:t xml:space="preserve"> </w:t>
      </w:r>
      <w:r>
        <w:rPr>
          <w:rFonts w:eastAsia="Times New Roman" w:cs="Times New Roman"/>
          <w:lang w:eastAsia="cs-CZ"/>
        </w:rPr>
        <w:t xml:space="preserve"> Iontová optimalizace se seřizuje následně a  je závislá na k</w:t>
      </w:r>
      <w:r>
        <w:t xml:space="preserve">ontrolním měření, následné do </w:t>
      </w:r>
      <w:proofErr w:type="gramStart"/>
      <w:r>
        <w:t>úpravě</w:t>
      </w:r>
      <w:proofErr w:type="gramEnd"/>
      <w:r>
        <w:t xml:space="preserve"> </w:t>
      </w:r>
      <w:r>
        <w:rPr>
          <w:rFonts w:eastAsia="Times New Roman" w:cs="Times New Roman"/>
          <w:b/>
          <w:lang w:eastAsia="cs-CZ"/>
        </w:rPr>
        <w:t>C2</w:t>
      </w:r>
      <w:r>
        <w:rPr>
          <w:rFonts w:eastAsia="Times New Roman" w:cs="Times New Roman"/>
          <w:lang w:eastAsia="cs-CZ"/>
        </w:rPr>
        <w:t>,</w:t>
      </w:r>
      <w:r>
        <w:rPr>
          <w:rFonts w:eastAsia="Times New Roman" w:cs="Times New Roman"/>
          <w:b/>
          <w:lang w:eastAsia="cs-CZ"/>
        </w:rPr>
        <w:t xml:space="preserve"> </w:t>
      </w:r>
      <w:r>
        <w:t>které provádí po desinfekci autorizovaný servis (</w:t>
      </w:r>
      <w:r w:rsidR="00DA32DD">
        <w:t>partner</w:t>
      </w:r>
      <w:r>
        <w:t xml:space="preserve">) po vstupním rozboru,  na kalibrovaném spektrofotometru </w:t>
      </w:r>
      <w:r>
        <w:rPr>
          <w:b/>
        </w:rPr>
        <w:t>DR 1900</w:t>
      </w:r>
      <w:r>
        <w:t xml:space="preserve">,  nebo na multimetru </w:t>
      </w:r>
      <w:r>
        <w:rPr>
          <w:b/>
        </w:rPr>
        <w:t>HQ 40D</w:t>
      </w:r>
      <w:r>
        <w:t xml:space="preserve"> Hach Lange. Viz </w:t>
      </w:r>
      <w:r>
        <w:rPr>
          <w:color w:val="FF0000"/>
        </w:rPr>
        <w:t>ad17)</w:t>
      </w:r>
      <w:r>
        <w:t xml:space="preserve"> </w:t>
      </w:r>
      <w:proofErr w:type="gramStart"/>
      <w:r>
        <w:t>str.18</w:t>
      </w:r>
      <w:proofErr w:type="gramEnd"/>
      <w:r>
        <w:t xml:space="preserve">, </w:t>
      </w:r>
      <w:r>
        <w:rPr>
          <w:color w:val="FF0000"/>
        </w:rPr>
        <w:t>ad19)</w:t>
      </w:r>
      <w:r>
        <w:t xml:space="preserve"> str.30, obr.22 v tematických přílohách. Následně provádí výrobce/servis kontrolní měření kvality výstupní vody ze sekundární části a to pomocí  </w:t>
      </w:r>
      <w:proofErr w:type="gramStart"/>
      <w:r>
        <w:t>měřícího přístroje</w:t>
      </w:r>
      <w:proofErr w:type="gramEnd"/>
      <w:r>
        <w:t xml:space="preserve"> – turbidimetru  Hach Lange  </w:t>
      </w:r>
      <w:r>
        <w:rPr>
          <w:b/>
        </w:rPr>
        <w:t>2100Q</w:t>
      </w:r>
      <w:r>
        <w:t>.</w:t>
      </w:r>
    </w:p>
    <w:p w:rsidR="00287B1D" w:rsidRDefault="00BB6CB9">
      <w:pPr>
        <w:ind w:left="-567"/>
        <w:jc w:val="both"/>
        <w:rPr>
          <w:rFonts w:eastAsia="Times New Roman" w:cs="Times New Roman"/>
          <w:sz w:val="12"/>
          <w:szCs w:val="12"/>
          <w:vertAlign w:val="superscript"/>
          <w:lang w:eastAsia="cs-CZ"/>
        </w:rPr>
      </w:pPr>
      <w:r>
        <w:rPr>
          <w:sz w:val="12"/>
          <w:szCs w:val="12"/>
        </w:rPr>
        <w:t>RDM - Remote Diagnostic Maintenance</w:t>
      </w:r>
      <w:r>
        <w:rPr>
          <w:rFonts w:eastAsia="Times New Roman" w:cs="Times New Roman"/>
          <w:b/>
          <w:sz w:val="12"/>
          <w:szCs w:val="12"/>
          <w:vertAlign w:val="superscript"/>
          <w:lang w:eastAsia="cs-CZ"/>
        </w:rPr>
        <w:t xml:space="preserve"> </w:t>
      </w:r>
      <w:r>
        <w:rPr>
          <w:rFonts w:eastAsia="Times New Roman" w:cs="Times New Roman"/>
          <w:sz w:val="12"/>
          <w:szCs w:val="12"/>
          <w:vertAlign w:val="superscript"/>
          <w:lang w:eastAsia="cs-CZ"/>
        </w:rPr>
        <w:t>f)</w:t>
      </w:r>
    </w:p>
    <w:p w:rsidR="00951E6A" w:rsidRPr="00951E6A" w:rsidRDefault="00BB6CB9" w:rsidP="004F4C43">
      <w:pPr>
        <w:ind w:left="-567" w:right="284"/>
        <w:jc w:val="both"/>
      </w:pPr>
      <w:r>
        <w:t xml:space="preserve">Biogenní hodnota, esenciální stopové prvky,  organoleptické a senzorické vlastnosti  výstupní vody se dají  upravit  dle přání klienta  vhodnou kombinací výměnných vložek </w:t>
      </w:r>
      <w:r>
        <w:rPr>
          <w:b/>
        </w:rPr>
        <w:t>A1a, A2a, A3a,b,c</w:t>
      </w:r>
      <w:r>
        <w:t xml:space="preserve">  (a viz variantní tabulka výměnných vložek v sekci ke stažení) nebo vzor v sekci  </w:t>
      </w:r>
      <w:r>
        <w:rPr>
          <w:color w:val="FF0000"/>
        </w:rPr>
        <w:t>ad19)</w:t>
      </w:r>
      <w:r>
        <w:t xml:space="preserve">  str.30, 31, </w:t>
      </w:r>
      <w:proofErr w:type="gramStart"/>
      <w:r>
        <w:t>obr.23</w:t>
      </w:r>
      <w:proofErr w:type="gramEnd"/>
      <w:r>
        <w:t xml:space="preserve">, Tab.2) nebo i jemně iontovou optimalizací </w:t>
      </w:r>
      <w:r>
        <w:rPr>
          <w:b/>
        </w:rPr>
        <w:t>B4</w:t>
      </w:r>
      <w:r>
        <w:t xml:space="preserve">. Snížení nebo zvýšení Ca + Mg dle přání klienta, je možné z důvodu požadovaného  </w:t>
      </w:r>
      <w:r>
        <w:rPr>
          <w:highlight w:val="yellow"/>
        </w:rPr>
        <w:t>zvýraznění chuti a vůně kávy, čaje  nebo nápojů</w:t>
      </w:r>
      <w:r>
        <w:t xml:space="preserve">. </w:t>
      </w:r>
      <w:r>
        <w:rPr>
          <w:u w:val="single"/>
        </w:rPr>
        <w:t>Zde není nutné striktně plnit požadavek vyhlášky u doporučených hodnot</w:t>
      </w:r>
      <w:r>
        <w:t xml:space="preserve">, jelikož zde </w:t>
      </w:r>
      <w:r>
        <w:rPr>
          <w:color w:val="FF0000"/>
        </w:rPr>
        <w:t>dochází  k pití velmi malého objemu kávy, čaje nebo nápojů,</w:t>
      </w:r>
      <w:r>
        <w:t xml:space="preserve"> přičemž vyhláška uvažuje  pití vody s doporučenými vlastnostmi  </w:t>
      </w:r>
      <w:r>
        <w:rPr>
          <w:b/>
          <w:color w:val="FF0000"/>
          <w:lang w:eastAsia="cs-CZ"/>
        </w:rPr>
        <w:t xml:space="preserve">≥ </w:t>
      </w:r>
      <w:r>
        <w:rPr>
          <w:b/>
          <w:color w:val="FF0000"/>
        </w:rPr>
        <w:t>2 L/den</w:t>
      </w:r>
      <w:r>
        <w:t xml:space="preserve">. </w:t>
      </w:r>
    </w:p>
    <w:p w:rsidR="00287B1D" w:rsidRDefault="00BB6CB9">
      <w:pPr>
        <w:ind w:left="-567" w:firstLine="708"/>
        <w:jc w:val="both"/>
      </w:pPr>
      <w:r>
        <w:t xml:space="preserve">Dále je zde reálný předpoklad, že se do nápojů   přidávají další  komponenty, </w:t>
      </w:r>
      <w:r>
        <w:rPr>
          <w:highlight w:val="green"/>
          <w:u w:val="single"/>
        </w:rPr>
        <w:t>které  biogenní vlastnosti vody zvyšují</w:t>
      </w:r>
      <w:r>
        <w:t xml:space="preserve"> (mléko, cukr, med, vitamíny, </w:t>
      </w:r>
      <w:proofErr w:type="gramStart"/>
      <w:r>
        <w:t>minerály...).</w:t>
      </w:r>
      <w:proofErr w:type="gramEnd"/>
      <w:r>
        <w:t xml:space="preserve"> Abychom dosáhli standardů „</w:t>
      </w:r>
      <w:r>
        <w:rPr>
          <w:color w:val="0000FF"/>
        </w:rPr>
        <w:t>Golden Cup of the Special Café Association of America (SCAA)</w:t>
      </w:r>
      <w:r>
        <w:t xml:space="preserve">“, doporučuje se, aby nejlépe chutnající kávu produkovala filtrovaná voda, která obsahuje mezi 50-100 (150) ppm (TDS), resp. </w:t>
      </w:r>
      <w:r>
        <w:rPr>
          <w:u w:val="single"/>
        </w:rPr>
        <w:t>78 – 156</w:t>
      </w:r>
      <w:r>
        <w:t xml:space="preserve"> (234) µS/cm</w:t>
      </w:r>
      <w:r>
        <w:rPr>
          <w:vertAlign w:val="superscript"/>
        </w:rPr>
        <w:t>2</w:t>
      </w:r>
      <w:r>
        <w:t xml:space="preserve"> s tím, že lze chuť vody ještě jemně upravit i pomocí </w:t>
      </w:r>
      <w:r>
        <w:rPr>
          <w:b/>
        </w:rPr>
        <w:t>B4</w:t>
      </w:r>
      <w:r>
        <w:t>.</w:t>
      </w:r>
      <w:r w:rsidR="00C430F0" w:rsidRPr="00C430F0">
        <w:t xml:space="preserve"> </w:t>
      </w:r>
      <w:r w:rsidR="00C430F0">
        <w:t xml:space="preserve">Modely AQ3 Mini </w:t>
      </w:r>
      <w:r w:rsidR="00FE7B3A">
        <w:t xml:space="preserve">(Coffee) </w:t>
      </w:r>
      <w:r w:rsidR="00C430F0" w:rsidRPr="00951E6A">
        <w:t>Café Standard/Exclusive</w:t>
      </w:r>
      <w:r w:rsidR="00C430F0">
        <w:t xml:space="preserve"> je možno na přání dodat se dvěma separátními výstupy pro napájení kávovarů a pro napájení sodobarů.</w:t>
      </w:r>
    </w:p>
    <w:p w:rsidR="00287B1D" w:rsidRDefault="00BB6CB9">
      <w:pPr>
        <w:ind w:left="-567"/>
      </w:pPr>
      <w:r>
        <w:rPr>
          <w:u w:val="single"/>
        </w:rPr>
        <w:t>Poznámka</w:t>
      </w:r>
      <w:r>
        <w:t xml:space="preserve">: </w:t>
      </w:r>
      <w:r>
        <w:rPr>
          <w:bCs/>
        </w:rPr>
        <w:t>Stopové prvky (mikroelementy)</w:t>
      </w:r>
      <w:r>
        <w:t> se ve tkáních nacházejí v koncentraci </w:t>
      </w:r>
      <w:r>
        <w:rPr>
          <w:bCs/>
        </w:rPr>
        <w:t xml:space="preserve">nižší než </w:t>
      </w:r>
      <w:r>
        <w:rPr>
          <w:b/>
          <w:bCs/>
          <w:color w:val="FF0000"/>
        </w:rPr>
        <w:t>50</w:t>
      </w:r>
      <w:r>
        <w:rPr>
          <w:bCs/>
          <w:color w:val="FF0000"/>
        </w:rPr>
        <w:t xml:space="preserve"> ppm </w:t>
      </w:r>
      <w:r>
        <w:rPr>
          <w:bCs/>
        </w:rPr>
        <w:t>(&lt;50 ×</w:t>
      </w:r>
      <w:r>
        <w:rPr>
          <w:rFonts w:ascii="Arial" w:hAnsi="Arial" w:cs="Arial"/>
          <w:bCs/>
        </w:rPr>
        <w:t> </w:t>
      </w:r>
      <w:r>
        <w:rPr>
          <w:bCs/>
        </w:rPr>
        <w:t>10</w:t>
      </w:r>
      <w:r>
        <w:rPr>
          <w:bCs/>
          <w:vertAlign w:val="superscript"/>
        </w:rPr>
        <w:t>-6</w:t>
      </w:r>
      <w:r>
        <w:rPr>
          <w:bCs/>
        </w:rPr>
        <w:t> g/g)</w:t>
      </w:r>
      <w:r>
        <w:t xml:space="preserve">. Jejich potřebný denní příjem z vody či potravy, je menší než </w:t>
      </w:r>
      <w:r>
        <w:rPr>
          <w:highlight w:val="yellow"/>
        </w:rPr>
        <w:t>50 mg</w:t>
      </w:r>
      <w:r>
        <w:t xml:space="preserve"> denně.</w:t>
      </w:r>
      <w:r>
        <w:rPr>
          <w:lang w:eastAsia="cs-CZ"/>
        </w:rPr>
        <w:t xml:space="preserve"> </w:t>
      </w:r>
    </w:p>
    <w:p w:rsidR="00287B1D" w:rsidRDefault="00BB6CB9">
      <w:pPr>
        <w:spacing w:after="0"/>
        <w:ind w:left="-567"/>
      </w:pPr>
      <w:r>
        <w:t>Hlavní prvky – </w:t>
      </w:r>
      <w:r>
        <w:rPr>
          <w:iCs/>
          <w:color w:val="0000FF"/>
        </w:rPr>
        <w:t>Fe, I, Cu, Zn, Co, Cr, Mo, Se, F, Mn, Ni, As, Sn, Si, V;</w:t>
      </w:r>
      <w:r>
        <w:t xml:space="preserve"> jsou esenciální – tělo si je nedokáže samo vytvořit a je závislé na jejich příjmu potravou, jejich nedostatek nebo nadbytek způsobuje zdravotní problémy.</w:t>
      </w:r>
    </w:p>
    <w:p w:rsidR="00287B1D" w:rsidRDefault="00287B1D">
      <w:pPr>
        <w:spacing w:after="0"/>
        <w:ind w:left="-567"/>
      </w:pPr>
    </w:p>
    <w:p w:rsidR="00287B1D" w:rsidRDefault="00BB6CB9">
      <w:pPr>
        <w:ind w:left="-567"/>
        <w:rPr>
          <w:rFonts w:ascii="Segoe UI" w:hAnsi="Segoe UI" w:cs="Segoe UI"/>
          <w:color w:val="212529"/>
          <w:highlight w:val="white"/>
        </w:rPr>
      </w:pPr>
      <w:r>
        <w:t xml:space="preserve">Hlavní biochemickou úlohou </w:t>
      </w:r>
      <w:r>
        <w:rPr>
          <w:color w:val="FF0000"/>
        </w:rPr>
        <w:t xml:space="preserve">stopových </w:t>
      </w:r>
      <w:proofErr w:type="gramStart"/>
      <w:r>
        <w:rPr>
          <w:color w:val="FF0000"/>
        </w:rPr>
        <w:t>prvků  v těle</w:t>
      </w:r>
      <w:proofErr w:type="gramEnd"/>
      <w:r>
        <w:rPr>
          <w:color w:val="FF0000"/>
        </w:rPr>
        <w:t xml:space="preserve">, </w:t>
      </w:r>
      <w:r>
        <w:t>je katalytické působení v enzymech a modulace enzymových aktivit. Také mají velký význam v ochraně před oxidačním stresem (</w:t>
      </w:r>
      <w:hyperlink r:id="rId18" w:tgtFrame="Superoxiddismutáza (stránka neexistuje)">
        <w:r>
          <w:t>SOD</w:t>
        </w:r>
      </w:hyperlink>
      <w:r>
        <w:t xml:space="preserve"> - </w:t>
      </w:r>
      <w:r>
        <w:rPr>
          <w:rFonts w:cs="Segoe UI"/>
          <w:color w:val="0000FF"/>
          <w:shd w:val="clear" w:color="auto" w:fill="FFFFFF"/>
        </w:rPr>
        <w:t>Superoxiddismutáz</w:t>
      </w:r>
      <w:r>
        <w:rPr>
          <w:color w:val="0000FF"/>
        </w:rPr>
        <w:t>a)</w:t>
      </w:r>
      <w:r>
        <w:t> potřebujeme Mn, Cu a Zn).</w:t>
      </w:r>
      <w:r>
        <w:rPr>
          <w:rFonts w:ascii="Segoe UI" w:hAnsi="Segoe UI" w:cs="Segoe UI"/>
          <w:color w:val="212529"/>
          <w:shd w:val="clear" w:color="auto" w:fill="FFFFFF"/>
        </w:rPr>
        <w:t xml:space="preserve"> </w:t>
      </w:r>
    </w:p>
    <w:p w:rsidR="00287B1D" w:rsidRDefault="00BB6CB9">
      <w:pPr>
        <w:ind w:left="-567"/>
      </w:pPr>
      <w:r>
        <w:rPr>
          <w:rFonts w:cs="Segoe UI"/>
          <w:color w:val="FF0000"/>
          <w:shd w:val="clear" w:color="auto" w:fill="FFFFFF"/>
        </w:rPr>
        <w:lastRenderedPageBreak/>
        <w:t xml:space="preserve">Oxidační stres </w:t>
      </w:r>
      <w:r>
        <w:rPr>
          <w:rFonts w:cs="Segoe UI"/>
          <w:color w:val="212529"/>
          <w:shd w:val="clear" w:color="auto" w:fill="FFFFFF"/>
        </w:rPr>
        <w:t>je </w:t>
      </w:r>
      <w:r>
        <w:rPr>
          <w:rFonts w:cs="Segoe UI"/>
          <w:bCs/>
          <w:color w:val="212529"/>
          <w:shd w:val="clear" w:color="auto" w:fill="FFFFFF"/>
        </w:rPr>
        <w:t>původcem mnohých onemocnění</w:t>
      </w:r>
      <w:r>
        <w:rPr>
          <w:rFonts w:cs="Segoe UI"/>
          <w:color w:val="212529"/>
          <w:shd w:val="clear" w:color="auto" w:fill="FFFFFF"/>
        </w:rPr>
        <w:t>, jako je </w:t>
      </w:r>
      <w:hyperlink r:id="rId19" w:tgtFrame="Alzheimerova choroba">
        <w:r>
          <w:rPr>
            <w:rStyle w:val="Internetovodkaz"/>
            <w:rFonts w:cs="Segoe UI"/>
            <w:i/>
            <w:color w:val="000000"/>
            <w:highlight w:val="white"/>
            <w:u w:val="none"/>
          </w:rPr>
          <w:t>Alzheimerova choroba</w:t>
        </w:r>
      </w:hyperlink>
      <w:r>
        <w:rPr>
          <w:rFonts w:cs="Segoe UI"/>
          <w:color w:val="212529"/>
          <w:shd w:val="clear" w:color="auto" w:fill="FFFFFF"/>
        </w:rPr>
        <w:t xml:space="preserve">, různé typy </w:t>
      </w:r>
      <w:r>
        <w:rPr>
          <w:rFonts w:cs="Segoe UI"/>
          <w:i/>
          <w:color w:val="212529"/>
          <w:shd w:val="clear" w:color="auto" w:fill="FFFFFF"/>
        </w:rPr>
        <w:t>nádorových onemocnění</w:t>
      </w:r>
      <w:r>
        <w:rPr>
          <w:rFonts w:cs="Segoe UI"/>
          <w:color w:val="212529"/>
          <w:shd w:val="clear" w:color="auto" w:fill="FFFFFF"/>
        </w:rPr>
        <w:t xml:space="preserve">, </w:t>
      </w:r>
      <w:r>
        <w:rPr>
          <w:rFonts w:cs="Segoe UI"/>
          <w:i/>
          <w:color w:val="212529"/>
          <w:shd w:val="clear" w:color="auto" w:fill="FFFFFF"/>
        </w:rPr>
        <w:t>onemocnění koronárních tepen</w:t>
      </w:r>
      <w:r>
        <w:rPr>
          <w:rFonts w:cs="Segoe UI"/>
          <w:color w:val="212529"/>
          <w:shd w:val="clear" w:color="auto" w:fill="FFFFFF"/>
        </w:rPr>
        <w:t xml:space="preserve"> či </w:t>
      </w:r>
      <w:r>
        <w:rPr>
          <w:rFonts w:cs="Segoe UI"/>
          <w:color w:val="212529"/>
          <w:u w:val="single"/>
          <w:shd w:val="clear" w:color="auto" w:fill="FFFFFF"/>
        </w:rPr>
        <w:t>diabetes mellitus</w:t>
      </w:r>
      <w:r>
        <w:rPr>
          <w:rFonts w:cs="Segoe UI"/>
          <w:color w:val="212529"/>
          <w:shd w:val="clear" w:color="auto" w:fill="FFFFFF"/>
        </w:rPr>
        <w:t>, ale i mnoho dalších…</w:t>
      </w:r>
    </w:p>
    <w:p w:rsidR="00287B1D" w:rsidRDefault="00BB6CB9">
      <w:pPr>
        <w:spacing w:after="0"/>
        <w:ind w:left="-567" w:right="284" w:firstLine="1276"/>
      </w:pPr>
      <w:r>
        <w:t xml:space="preserve">                      </w:t>
      </w:r>
      <w:r>
        <w:rPr>
          <w:noProof/>
          <w:lang w:eastAsia="cs-CZ"/>
        </w:rPr>
        <w:drawing>
          <wp:inline distT="0" distB="0" distL="0" distR="0">
            <wp:extent cx="3208020" cy="2230120"/>
            <wp:effectExtent l="0" t="0" r="0" b="0"/>
            <wp:docPr id="4" name="Obrázek 73" descr="foto  MFP Periodická soustava prvků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73" descr="foto  MFP Periodická soustava prvků "/>
                    <pic:cNvPicPr>
                      <a:picLocks noChangeAspect="1" noChangeArrowheads="1"/>
                    </pic:cNvPicPr>
                  </pic:nvPicPr>
                  <pic:blipFill>
                    <a:blip r:embed="rId20"/>
                    <a:stretch>
                      <a:fillRect/>
                    </a:stretch>
                  </pic:blipFill>
                  <pic:spPr bwMode="auto">
                    <a:xfrm>
                      <a:off x="0" y="0"/>
                      <a:ext cx="3208020" cy="2230120"/>
                    </a:xfrm>
                    <a:prstGeom prst="rect">
                      <a:avLst/>
                    </a:prstGeom>
                  </pic:spPr>
                </pic:pic>
              </a:graphicData>
            </a:graphic>
          </wp:inline>
        </w:drawing>
      </w:r>
    </w:p>
    <w:p w:rsidR="00287B1D" w:rsidRDefault="00287B1D">
      <w:pPr>
        <w:spacing w:after="0"/>
        <w:ind w:left="-567" w:right="284" w:firstLine="1276"/>
      </w:pPr>
    </w:p>
    <w:p w:rsidR="00287B1D" w:rsidRDefault="00BB6CB9">
      <w:pPr>
        <w:spacing w:after="0"/>
        <w:ind w:left="-567" w:right="284" w:firstLine="1276"/>
        <w:rPr>
          <w:sz w:val="14"/>
          <w:szCs w:val="14"/>
        </w:rPr>
      </w:pPr>
      <w:r>
        <w:rPr>
          <w:sz w:val="14"/>
          <w:szCs w:val="14"/>
        </w:rPr>
        <w:t xml:space="preserve">                                                         </w:t>
      </w:r>
      <w:proofErr w:type="gramStart"/>
      <w:r>
        <w:rPr>
          <w:sz w:val="14"/>
          <w:szCs w:val="14"/>
        </w:rPr>
        <w:t>Obr.4;</w:t>
      </w:r>
      <w:proofErr w:type="gramEnd"/>
      <w:r>
        <w:rPr>
          <w:sz w:val="14"/>
          <w:szCs w:val="14"/>
        </w:rPr>
        <w:t xml:space="preserve"> </w:t>
      </w:r>
      <w:proofErr w:type="gramStart"/>
      <w:r>
        <w:rPr>
          <w:sz w:val="14"/>
          <w:szCs w:val="14"/>
        </w:rPr>
        <w:t>Tab.2  Periodická</w:t>
      </w:r>
      <w:proofErr w:type="gramEnd"/>
      <w:r>
        <w:rPr>
          <w:sz w:val="14"/>
          <w:szCs w:val="14"/>
        </w:rPr>
        <w:t xml:space="preserve"> soustava prvků</w:t>
      </w:r>
    </w:p>
    <w:p w:rsidR="00287B1D" w:rsidRDefault="00BB6CB9">
      <w:pPr>
        <w:spacing w:after="0"/>
        <w:ind w:left="-567" w:right="283" w:firstLine="708"/>
        <w:jc w:val="center"/>
      </w:pPr>
      <w:r>
        <w:rPr>
          <w:noProof/>
          <w:lang w:eastAsia="cs-CZ"/>
        </w:rPr>
        <w:drawing>
          <wp:inline distT="0" distB="0" distL="0" distR="0">
            <wp:extent cx="4863465" cy="2719705"/>
            <wp:effectExtent l="0" t="0" r="0" b="0"/>
            <wp:docPr id="5" name="Obrázek 90" descr="Crossflow filtration: A new approach to wine clarification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90" descr="Crossflow filtration: A new approach to wine clarification - ScienceDirect"/>
                    <pic:cNvPicPr>
                      <a:picLocks noChangeAspect="1" noChangeArrowheads="1"/>
                    </pic:cNvPicPr>
                  </pic:nvPicPr>
                  <pic:blipFill>
                    <a:blip r:embed="rId21"/>
                    <a:stretch>
                      <a:fillRect/>
                    </a:stretch>
                  </pic:blipFill>
                  <pic:spPr bwMode="auto">
                    <a:xfrm>
                      <a:off x="0" y="0"/>
                      <a:ext cx="4863465" cy="2719705"/>
                    </a:xfrm>
                    <a:prstGeom prst="rect">
                      <a:avLst/>
                    </a:prstGeom>
                  </pic:spPr>
                </pic:pic>
              </a:graphicData>
            </a:graphic>
          </wp:inline>
        </w:drawing>
      </w:r>
    </w:p>
    <w:p w:rsidR="00287B1D" w:rsidRDefault="00287B1D">
      <w:pPr>
        <w:spacing w:after="0"/>
        <w:ind w:left="-567" w:right="283" w:firstLine="708"/>
        <w:jc w:val="both"/>
      </w:pPr>
    </w:p>
    <w:p w:rsidR="00287B1D" w:rsidRDefault="00BB6CB9">
      <w:pPr>
        <w:ind w:left="-567" w:right="284" w:firstLine="708"/>
        <w:jc w:val="both"/>
        <w:rPr>
          <w:sz w:val="14"/>
          <w:szCs w:val="14"/>
        </w:rPr>
      </w:pPr>
      <w:r>
        <w:t xml:space="preserve">                 </w:t>
      </w:r>
      <w:proofErr w:type="gramStart"/>
      <w:r>
        <w:rPr>
          <w:sz w:val="14"/>
          <w:szCs w:val="14"/>
        </w:rPr>
        <w:t>Obr.5;</w:t>
      </w:r>
      <w:proofErr w:type="gramEnd"/>
      <w:r>
        <w:rPr>
          <w:sz w:val="14"/>
          <w:szCs w:val="14"/>
        </w:rPr>
        <w:t xml:space="preserve"> </w:t>
      </w:r>
      <w:proofErr w:type="gramStart"/>
      <w:r>
        <w:rPr>
          <w:sz w:val="14"/>
          <w:szCs w:val="14"/>
        </w:rPr>
        <w:t>Graf.1  Zobrazení</w:t>
      </w:r>
      <w:proofErr w:type="gramEnd"/>
      <w:r>
        <w:rPr>
          <w:sz w:val="14"/>
          <w:szCs w:val="14"/>
        </w:rPr>
        <w:t xml:space="preserve"> rozdílu mezi sedimentační a separační technologií AQ3 Mini     </w:t>
      </w:r>
    </w:p>
    <w:p w:rsidR="00287B1D" w:rsidRDefault="00BB6CB9">
      <w:pPr>
        <w:ind w:left="-567" w:right="284" w:firstLine="708"/>
        <w:jc w:val="both"/>
        <w:rPr>
          <w:sz w:val="14"/>
          <w:szCs w:val="14"/>
        </w:rPr>
      </w:pPr>
      <w:r>
        <w:rPr>
          <w:sz w:val="14"/>
          <w:szCs w:val="14"/>
        </w:rPr>
        <w:t xml:space="preserve">            </w:t>
      </w:r>
      <w:r>
        <w:rPr>
          <w:rFonts w:ascii="Calibri" w:eastAsia="Times New Roman" w:hAnsi="Calibri" w:cs="Calibri"/>
          <w:sz w:val="14"/>
          <w:szCs w:val="14"/>
        </w:rPr>
        <w:t xml:space="preserve"> </w:t>
      </w:r>
    </w:p>
    <w:p w:rsidR="00287B1D" w:rsidRDefault="00BB6CB9">
      <w:pPr>
        <w:ind w:left="-567" w:right="284"/>
        <w:jc w:val="center"/>
        <w:rPr>
          <w:b/>
          <w:i/>
          <w:color w:val="00B050"/>
          <w:u w:val="single"/>
        </w:rPr>
      </w:pPr>
      <w:r>
        <w:rPr>
          <w:b/>
          <w:i/>
          <w:color w:val="FF0000"/>
          <w:u w:val="single"/>
        </w:rPr>
        <w:t xml:space="preserve">ad 4) Popis funkce objemové sací pumpy </w:t>
      </w:r>
    </w:p>
    <w:p w:rsidR="00287B1D" w:rsidRDefault="00BB6CB9">
      <w:pPr>
        <w:ind w:left="-567" w:firstLine="708"/>
        <w:jc w:val="both"/>
      </w:pPr>
      <w:r>
        <w:t xml:space="preserve">Dále již předupravená voda natéká </w:t>
      </w:r>
      <w:r>
        <w:rPr>
          <w:highlight w:val="yellow"/>
        </w:rPr>
        <w:t>žlutou plastovou hadičkou</w:t>
      </w:r>
      <w:r>
        <w:t xml:space="preserve"> do primární části podtlakové sací pumpy, se vstupním tlakem od </w:t>
      </w:r>
      <w:r>
        <w:rPr>
          <w:b/>
        </w:rPr>
        <w:t>2</w:t>
      </w:r>
      <w:r>
        <w:t xml:space="preserve"> do </w:t>
      </w:r>
      <w:r>
        <w:rPr>
          <w:b/>
        </w:rPr>
        <w:t>6</w:t>
      </w:r>
      <w:r>
        <w:t xml:space="preserve"> (přechodně max 7) barů (30 – 100 Psi), s denní možnou průtočnou kapacitou </w:t>
      </w:r>
      <w:r>
        <w:rPr>
          <w:b/>
        </w:rPr>
        <w:t xml:space="preserve">16 </w:t>
      </w:r>
      <w:r>
        <w:t xml:space="preserve">~ </w:t>
      </w:r>
      <w:r>
        <w:rPr>
          <w:b/>
        </w:rPr>
        <w:t>270</w:t>
      </w:r>
      <w:r>
        <w:t xml:space="preserve"> ml/min, tj. </w:t>
      </w:r>
      <w:r>
        <w:rPr>
          <w:b/>
        </w:rPr>
        <w:t>23,04</w:t>
      </w:r>
      <w:r>
        <w:t xml:space="preserve"> ~ </w:t>
      </w:r>
      <w:r>
        <w:rPr>
          <w:b/>
        </w:rPr>
        <w:t>388,8</w:t>
      </w:r>
      <w:r>
        <w:t xml:space="preserve"> litrů/den (</w:t>
      </w:r>
      <w:r>
        <w:rPr>
          <w:b/>
          <w:color w:val="0070C0"/>
        </w:rPr>
        <w:t xml:space="preserve">6,08 ~ 102,71 </w:t>
      </w:r>
      <w:proofErr w:type="gramStart"/>
      <w:r>
        <w:rPr>
          <w:b/>
          <w:color w:val="0070C0"/>
        </w:rPr>
        <w:t>GPD*</w:t>
      </w:r>
      <w:r>
        <w:t>),  pomocí</w:t>
      </w:r>
      <w:proofErr w:type="gramEnd"/>
      <w:r>
        <w:t xml:space="preserve"> které se odsává již vyfiltrovaná voda (</w:t>
      </w:r>
      <w:r>
        <w:rPr>
          <w:i/>
          <w:color w:val="7030A0"/>
        </w:rPr>
        <w:t>permeát</w:t>
      </w:r>
      <w:r>
        <w:t xml:space="preserve">) ze sekundární části  nanomodulu. Použitím této objemové  sací pumpy se </w:t>
      </w:r>
      <w:r>
        <w:rPr>
          <w:b/>
        </w:rPr>
        <w:t>5x</w:t>
      </w:r>
      <w:r>
        <w:t xml:space="preserve"> </w:t>
      </w:r>
      <w:r>
        <w:rPr>
          <w:b/>
          <w:color w:val="FF0000"/>
        </w:rPr>
        <w:t xml:space="preserve">! </w:t>
      </w:r>
      <w:proofErr w:type="gramStart"/>
      <w:r>
        <w:rPr>
          <w:b/>
          <w:color w:val="FF0000"/>
        </w:rPr>
        <w:t>zrychlí</w:t>
      </w:r>
      <w:proofErr w:type="gramEnd"/>
      <w:r>
        <w:t xml:space="preserve"> výroba vody do zásobní nádrže, o </w:t>
      </w:r>
      <w:r>
        <w:rPr>
          <w:b/>
        </w:rPr>
        <w:t xml:space="preserve">80% </w:t>
      </w:r>
      <w:r>
        <w:rPr>
          <w:b/>
          <w:color w:val="FF0000"/>
        </w:rPr>
        <w:t>!</w:t>
      </w:r>
      <w:r>
        <w:t xml:space="preserve"> se </w:t>
      </w:r>
      <w:r>
        <w:rPr>
          <w:b/>
          <w:color w:val="FF0000"/>
        </w:rPr>
        <w:t>sníží</w:t>
      </w:r>
      <w:r>
        <w:t xml:space="preserve"> míra odpadní vody, o </w:t>
      </w:r>
      <w:r>
        <w:rPr>
          <w:b/>
        </w:rPr>
        <w:t xml:space="preserve">90% </w:t>
      </w:r>
      <w:r>
        <w:rPr>
          <w:b/>
          <w:color w:val="FF0000"/>
        </w:rPr>
        <w:t>!</w:t>
      </w:r>
      <w:r>
        <w:t xml:space="preserve"> se </w:t>
      </w:r>
      <w:r>
        <w:rPr>
          <w:b/>
          <w:color w:val="FF0000"/>
        </w:rPr>
        <w:t>zvedne</w:t>
      </w:r>
      <w:r>
        <w:t xml:space="preserve"> plnící tlak do zásobní nádrže, o </w:t>
      </w:r>
      <w:r>
        <w:rPr>
          <w:b/>
        </w:rPr>
        <w:t xml:space="preserve">400% </w:t>
      </w:r>
      <w:r>
        <w:rPr>
          <w:b/>
          <w:color w:val="FF0000"/>
        </w:rPr>
        <w:t>!</w:t>
      </w:r>
      <w:r>
        <w:t xml:space="preserve"> se </w:t>
      </w:r>
      <w:r>
        <w:rPr>
          <w:b/>
          <w:color w:val="FF0000"/>
          <w:u w:val="single"/>
        </w:rPr>
        <w:t>zvýší</w:t>
      </w:r>
      <w:r>
        <w:t xml:space="preserve"> využití  výroby vody oproti  podobným  </w:t>
      </w:r>
      <w:r>
        <w:lastRenderedPageBreak/>
        <w:t xml:space="preserve">výrobkům, nabízeným  na trhu.     Současně se v protifázi odsává </w:t>
      </w:r>
      <w:r>
        <w:rPr>
          <w:color w:val="FFFFFF" w:themeColor="background1"/>
          <w:highlight w:val="black"/>
        </w:rPr>
        <w:t>černou odpadní hadičkou</w:t>
      </w:r>
      <w:r>
        <w:rPr>
          <w:highlight w:val="black"/>
        </w:rPr>
        <w:t>)</w:t>
      </w:r>
      <w:r>
        <w:t xml:space="preserve"> odpadní voda z primární části nanomodulu, pomocí sekundární části podtlakové sací pumpy, s definovanou životností </w:t>
      </w:r>
      <w:r>
        <w:rPr>
          <w:b/>
        </w:rPr>
        <w:t>150 000</w:t>
      </w:r>
      <w:r>
        <w:t xml:space="preserve"> litrů, resp. koncentrovaný odpad (</w:t>
      </w:r>
      <w:r>
        <w:rPr>
          <w:i/>
          <w:color w:val="7030A0"/>
        </w:rPr>
        <w:t>retenát</w:t>
      </w:r>
      <w:r>
        <w:t xml:space="preserve">). </w:t>
      </w:r>
    </w:p>
    <w:p w:rsidR="00287B1D" w:rsidRDefault="00BB6CB9">
      <w:pPr>
        <w:ind w:left="-567" w:firstLine="708"/>
        <w:jc w:val="both"/>
      </w:pPr>
      <w:r>
        <w:t xml:space="preserve">Na této větvi je umístěn </w:t>
      </w:r>
      <w:r>
        <w:rPr>
          <w:b/>
        </w:rPr>
        <w:t>¼“</w:t>
      </w:r>
      <w:r>
        <w:t xml:space="preserve"> kuželový poměrový ventil </w:t>
      </w:r>
      <w:r>
        <w:rPr>
          <w:b/>
        </w:rPr>
        <w:t>C2</w:t>
      </w:r>
      <w:r>
        <w:t xml:space="preserve">, který zajišťuje regulaci poměru vyrobené vody (permeátu), vůči koncentrovanému odpadu (retenátu) v poměru ~ </w:t>
      </w:r>
      <w:r>
        <w:rPr>
          <w:b/>
        </w:rPr>
        <w:t>4</w:t>
      </w:r>
      <w:r>
        <w:t xml:space="preserve"> až </w:t>
      </w:r>
      <w:r>
        <w:rPr>
          <w:b/>
        </w:rPr>
        <w:t xml:space="preserve">6 </w:t>
      </w:r>
      <w:r>
        <w:t>:</w:t>
      </w:r>
      <w:r>
        <w:rPr>
          <w:b/>
        </w:rPr>
        <w:t xml:space="preserve"> 1</w:t>
      </w:r>
      <w:r>
        <w:t>.</w:t>
      </w:r>
    </w:p>
    <w:p w:rsidR="00287B1D" w:rsidRDefault="00BB6CB9">
      <w:pPr>
        <w:ind w:left="141"/>
        <w:jc w:val="both"/>
        <w:rPr>
          <w:lang w:eastAsia="cs-CZ"/>
        </w:rPr>
      </w:pPr>
      <w:r>
        <w:rPr>
          <w:b/>
          <w:color w:val="0070C0"/>
          <w:lang w:eastAsia="cs-CZ"/>
        </w:rPr>
        <w:t>*</w:t>
      </w:r>
      <w:r>
        <w:rPr>
          <w:lang w:eastAsia="cs-CZ"/>
        </w:rPr>
        <w:t>Doporučený odběr do 50 litrů/den</w:t>
      </w:r>
    </w:p>
    <w:p w:rsidR="00287B1D" w:rsidRDefault="00BB6CB9">
      <w:pPr>
        <w:ind w:left="-567" w:firstLine="708"/>
        <w:jc w:val="both"/>
      </w:pPr>
      <w:r>
        <w:t xml:space="preserve">    </w:t>
      </w:r>
    </w:p>
    <w:p w:rsidR="00287B1D" w:rsidRDefault="00BB6CB9">
      <w:pPr>
        <w:ind w:left="-567" w:right="284" w:firstLine="708"/>
        <w:jc w:val="both"/>
      </w:pPr>
      <w:r>
        <w:rPr>
          <w:noProof/>
          <w:lang w:eastAsia="cs-CZ"/>
        </w:rPr>
        <w:drawing>
          <wp:anchor distT="0" distB="0" distL="114300" distR="114300" simplePos="0" relativeHeight="55" behindDoc="0" locked="0" layoutInCell="1" allowOverlap="1">
            <wp:simplePos x="0" y="0"/>
            <wp:positionH relativeFrom="column">
              <wp:posOffset>3553460</wp:posOffset>
            </wp:positionH>
            <wp:positionV relativeFrom="paragraph">
              <wp:posOffset>124460</wp:posOffset>
            </wp:positionV>
            <wp:extent cx="1352550" cy="1051560"/>
            <wp:effectExtent l="0" t="0" r="0" b="0"/>
            <wp:wrapSquare wrapText="bothSides"/>
            <wp:docPr id="6" name="Obrázek 102" descr="Aquatec RO Permeate Pumps for Home Reverse Osmosis Systems | Applied  Membranes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102" descr="Aquatec RO Permeate Pumps for Home Reverse Osmosis Systems | Applied  Membranes Inc."/>
                    <pic:cNvPicPr>
                      <a:picLocks noChangeAspect="1" noChangeArrowheads="1"/>
                    </pic:cNvPicPr>
                  </pic:nvPicPr>
                  <pic:blipFill>
                    <a:blip r:embed="rId22"/>
                    <a:stretch>
                      <a:fillRect/>
                    </a:stretch>
                  </pic:blipFill>
                  <pic:spPr bwMode="auto">
                    <a:xfrm>
                      <a:off x="0" y="0"/>
                      <a:ext cx="1352550" cy="1051560"/>
                    </a:xfrm>
                    <a:prstGeom prst="rect">
                      <a:avLst/>
                    </a:prstGeom>
                  </pic:spPr>
                </pic:pic>
              </a:graphicData>
            </a:graphic>
          </wp:anchor>
        </w:drawing>
      </w:r>
      <w:r>
        <w:rPr>
          <w:noProof/>
          <w:lang w:eastAsia="cs-CZ"/>
        </w:rPr>
        <w:drawing>
          <wp:anchor distT="0" distB="0" distL="114300" distR="114300" simplePos="0" relativeHeight="60" behindDoc="0" locked="0" layoutInCell="1" allowOverlap="1">
            <wp:simplePos x="0" y="0"/>
            <wp:positionH relativeFrom="column">
              <wp:posOffset>307340</wp:posOffset>
            </wp:positionH>
            <wp:positionV relativeFrom="paragraph">
              <wp:posOffset>73025</wp:posOffset>
            </wp:positionV>
            <wp:extent cx="1614170" cy="1614170"/>
            <wp:effectExtent l="0" t="0" r="0" b="0"/>
            <wp:wrapSquare wrapText="bothSides"/>
            <wp:docPr id="7" name="Obrázek 21" descr="škrtící ventil nerez VX53 1/4&quot; - oboustranný VX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21" descr="škrtící ventil nerez VX53 1/4&quot; - oboustranný VX53-14"/>
                    <pic:cNvPicPr>
                      <a:picLocks noChangeAspect="1" noChangeArrowheads="1"/>
                    </pic:cNvPicPr>
                  </pic:nvPicPr>
                  <pic:blipFill>
                    <a:blip r:embed="rId23"/>
                    <a:stretch>
                      <a:fillRect/>
                    </a:stretch>
                  </pic:blipFill>
                  <pic:spPr bwMode="auto">
                    <a:xfrm>
                      <a:off x="0" y="0"/>
                      <a:ext cx="1614170" cy="1614170"/>
                    </a:xfrm>
                    <a:prstGeom prst="rect">
                      <a:avLst/>
                    </a:prstGeom>
                  </pic:spPr>
                </pic:pic>
              </a:graphicData>
            </a:graphic>
          </wp:anchor>
        </w:drawing>
      </w:r>
    </w:p>
    <w:p w:rsidR="00287B1D" w:rsidRDefault="00287B1D">
      <w:pPr>
        <w:ind w:left="-567" w:right="284" w:firstLine="708"/>
        <w:jc w:val="both"/>
      </w:pPr>
    </w:p>
    <w:p w:rsidR="00287B1D" w:rsidRDefault="00287B1D">
      <w:pPr>
        <w:ind w:left="-567" w:right="284" w:firstLine="708"/>
        <w:jc w:val="both"/>
      </w:pPr>
    </w:p>
    <w:p w:rsidR="00287B1D" w:rsidRDefault="00BB6CB9">
      <w:pPr>
        <w:ind w:left="-567" w:right="284" w:firstLine="708"/>
        <w:jc w:val="both"/>
      </w:pPr>
      <w:r>
        <w:t xml:space="preserve">       </w:t>
      </w:r>
    </w:p>
    <w:p w:rsidR="00287B1D" w:rsidRDefault="00287B1D">
      <w:pPr>
        <w:ind w:left="-567" w:right="284"/>
        <w:jc w:val="both"/>
        <w:rPr>
          <w:sz w:val="14"/>
          <w:szCs w:val="14"/>
        </w:rPr>
      </w:pPr>
    </w:p>
    <w:p w:rsidR="00287B1D" w:rsidRDefault="00287B1D">
      <w:pPr>
        <w:ind w:left="-567" w:right="284"/>
        <w:jc w:val="both"/>
        <w:rPr>
          <w:sz w:val="14"/>
          <w:szCs w:val="14"/>
        </w:rPr>
      </w:pPr>
    </w:p>
    <w:p w:rsidR="00287B1D" w:rsidRDefault="00BB6CB9">
      <w:pPr>
        <w:ind w:left="-567" w:right="284"/>
        <w:jc w:val="both"/>
        <w:rPr>
          <w:sz w:val="12"/>
          <w:szCs w:val="12"/>
        </w:rPr>
      </w:pPr>
      <w:proofErr w:type="gramStart"/>
      <w:r>
        <w:rPr>
          <w:sz w:val="12"/>
          <w:szCs w:val="12"/>
        </w:rPr>
        <w:t>Obr.6 Poměrový</w:t>
      </w:r>
      <w:proofErr w:type="gramEnd"/>
      <w:r>
        <w:rPr>
          <w:sz w:val="12"/>
          <w:szCs w:val="12"/>
        </w:rPr>
        <w:t xml:space="preserve"> ventil ke spirálnímu modulu (chybí u AQ3 Mini Basic)          Obr.7 Podtlaková sací pumpa, šetřící ~ 80 % odpadu (chybí u AQ3 Mini Basic)                       </w:t>
      </w:r>
    </w:p>
    <w:p w:rsidR="00287B1D" w:rsidRDefault="00BB6CB9">
      <w:pPr>
        <w:ind w:right="284"/>
        <w:jc w:val="both"/>
      </w:pPr>
      <w:r>
        <w:rPr>
          <w:noProof/>
          <w:lang w:eastAsia="cs-CZ"/>
        </w:rPr>
        <w:drawing>
          <wp:anchor distT="0" distB="0" distL="114300" distR="114300" simplePos="0" relativeHeight="71" behindDoc="0" locked="0" layoutInCell="1" allowOverlap="1">
            <wp:simplePos x="0" y="0"/>
            <wp:positionH relativeFrom="column">
              <wp:posOffset>3121660</wp:posOffset>
            </wp:positionH>
            <wp:positionV relativeFrom="paragraph">
              <wp:posOffset>277495</wp:posOffset>
            </wp:positionV>
            <wp:extent cx="899160" cy="723900"/>
            <wp:effectExtent l="0" t="0" r="0" b="0"/>
            <wp:wrapSquare wrapText="bothSides"/>
            <wp:docPr id="8" name="Obrázek 92" descr="Micro-turbine flow meter - Serie Vision 1000 - LICO Electronics Gmbh - for  liquids / inser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92" descr="Micro-turbine flow meter - Serie Vision 1000 - LICO Electronics Gmbh - for  liquids / insertion"/>
                    <pic:cNvPicPr>
                      <a:picLocks noChangeAspect="1" noChangeArrowheads="1"/>
                    </pic:cNvPicPr>
                  </pic:nvPicPr>
                  <pic:blipFill>
                    <a:blip r:embed="rId24"/>
                    <a:stretch>
                      <a:fillRect/>
                    </a:stretch>
                  </pic:blipFill>
                  <pic:spPr bwMode="auto">
                    <a:xfrm>
                      <a:off x="0" y="0"/>
                      <a:ext cx="899160" cy="723900"/>
                    </a:xfrm>
                    <a:prstGeom prst="rect">
                      <a:avLst/>
                    </a:prstGeom>
                  </pic:spPr>
                </pic:pic>
              </a:graphicData>
            </a:graphic>
          </wp:anchor>
        </w:drawing>
      </w:r>
      <w:r>
        <w:rPr>
          <w:lang w:eastAsia="cs-CZ"/>
        </w:rPr>
        <w:t xml:space="preserve">          </w:t>
      </w:r>
      <w:r>
        <w:rPr>
          <w:noProof/>
          <w:lang w:eastAsia="cs-CZ"/>
        </w:rPr>
        <w:drawing>
          <wp:inline distT="0" distB="0" distL="0" distR="0">
            <wp:extent cx="1155700" cy="1155700"/>
            <wp:effectExtent l="0" t="0" r="0" b="0"/>
            <wp:docPr id="9" name="Obrázek 91" descr="quickconntection, 14&quot;, normalclosed, rowater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1" descr="quickconntection, 14&quot;, normalclosed, rowatersystem"/>
                    <pic:cNvPicPr>
                      <a:picLocks noChangeAspect="1" noChangeArrowheads="1"/>
                    </pic:cNvPicPr>
                  </pic:nvPicPr>
                  <pic:blipFill>
                    <a:blip r:embed="rId25"/>
                    <a:stretch>
                      <a:fillRect/>
                    </a:stretch>
                  </pic:blipFill>
                  <pic:spPr bwMode="auto">
                    <a:xfrm>
                      <a:off x="0" y="0"/>
                      <a:ext cx="1155700" cy="1155700"/>
                    </a:xfrm>
                    <a:prstGeom prst="rect">
                      <a:avLst/>
                    </a:prstGeom>
                  </pic:spPr>
                </pic:pic>
              </a:graphicData>
            </a:graphic>
          </wp:inline>
        </w:drawing>
      </w:r>
      <w:r>
        <w:rPr>
          <w:lang w:eastAsia="cs-CZ"/>
        </w:rPr>
        <w:t xml:space="preserve">                          </w:t>
      </w:r>
      <w:r>
        <w:rPr>
          <w:noProof/>
          <w:lang w:eastAsia="cs-CZ"/>
        </w:rPr>
        <w:drawing>
          <wp:inline distT="0" distB="0" distL="0" distR="0">
            <wp:extent cx="1104900" cy="1104900"/>
            <wp:effectExtent l="0" t="0" r="0" b="0"/>
            <wp:docPr id="10" name="Obrázek 49" descr="http://www.digisavant.com/images/Products/FS-340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49" descr="http://www.digisavant.com/images/Products/FS-3400B.jpg"/>
                    <pic:cNvPicPr>
                      <a:picLocks noChangeAspect="1" noChangeArrowheads="1"/>
                    </pic:cNvPicPr>
                  </pic:nvPicPr>
                  <pic:blipFill>
                    <a:blip r:embed="rId26"/>
                    <a:stretch>
                      <a:fillRect/>
                    </a:stretch>
                  </pic:blipFill>
                  <pic:spPr bwMode="auto">
                    <a:xfrm>
                      <a:off x="0" y="0"/>
                      <a:ext cx="1104900" cy="1104900"/>
                    </a:xfrm>
                    <a:prstGeom prst="rect">
                      <a:avLst/>
                    </a:prstGeom>
                  </pic:spPr>
                </pic:pic>
              </a:graphicData>
            </a:graphic>
          </wp:inline>
        </w:drawing>
      </w:r>
    </w:p>
    <w:p w:rsidR="00287B1D" w:rsidRDefault="00BB6CB9">
      <w:pPr>
        <w:ind w:right="284" w:hanging="567"/>
        <w:jc w:val="both"/>
        <w:rPr>
          <w:sz w:val="12"/>
          <w:szCs w:val="12"/>
        </w:rPr>
      </w:pPr>
      <w:proofErr w:type="gramStart"/>
      <w:r>
        <w:rPr>
          <w:rFonts w:eastAsia="Times New Roman" w:cs="Times New Roman"/>
          <w:sz w:val="12"/>
          <w:szCs w:val="12"/>
          <w:lang w:eastAsia="cs-CZ"/>
        </w:rPr>
        <w:t>Obr.8 Elektroventil</w:t>
      </w:r>
      <w:proofErr w:type="gramEnd"/>
      <w:r>
        <w:rPr>
          <w:rFonts w:eastAsia="Times New Roman" w:cs="Times New Roman"/>
          <w:sz w:val="12"/>
          <w:szCs w:val="12"/>
          <w:lang w:eastAsia="cs-CZ"/>
        </w:rPr>
        <w:t xml:space="preserve"> SV1NC a SV2NC </w:t>
      </w:r>
      <w:r>
        <w:rPr>
          <w:sz w:val="12"/>
          <w:szCs w:val="12"/>
        </w:rPr>
        <w:t xml:space="preserve">(chybí u AQ3 Mini Basic)                         </w:t>
      </w:r>
      <w:r>
        <w:rPr>
          <w:rFonts w:eastAsia="Times New Roman" w:cs="Times New Roman"/>
          <w:sz w:val="12"/>
          <w:szCs w:val="12"/>
          <w:lang w:eastAsia="cs-CZ"/>
        </w:rPr>
        <w:t xml:space="preserve">Obr.9 Průtokoměry FM1*, FM2, FM3* (0.05 ~ 0.5 l/min)* </w:t>
      </w:r>
      <w:r>
        <w:rPr>
          <w:sz w:val="12"/>
          <w:szCs w:val="12"/>
        </w:rPr>
        <w:t xml:space="preserve">(chybí u AQ3 Mini Basic) *                      </w:t>
      </w:r>
    </w:p>
    <w:p w:rsidR="00287B1D" w:rsidRDefault="00287B1D">
      <w:pPr>
        <w:spacing w:after="0"/>
        <w:ind w:left="-567" w:right="283" w:firstLine="708"/>
        <w:jc w:val="both"/>
        <w:rPr>
          <w:rFonts w:eastAsia="Times New Roman" w:cs="Times New Roman"/>
          <w:lang w:eastAsia="cs-CZ"/>
        </w:rPr>
      </w:pPr>
    </w:p>
    <w:p w:rsidR="00287B1D" w:rsidRDefault="00BB6CB9">
      <w:pPr>
        <w:ind w:left="-567" w:right="284"/>
        <w:jc w:val="center"/>
        <w:rPr>
          <w:b/>
          <w:i/>
          <w:color w:val="FF0000"/>
          <w:u w:val="single"/>
        </w:rPr>
      </w:pPr>
      <w:r>
        <w:rPr>
          <w:b/>
          <w:i/>
          <w:color w:val="FF0000"/>
          <w:u w:val="single"/>
        </w:rPr>
        <w:t>ad 5) Popis funkce tlakového senzoru, solenoidů a FM1</w:t>
      </w:r>
    </w:p>
    <w:p w:rsidR="00287B1D" w:rsidRDefault="00BB6CB9">
      <w:pPr>
        <w:ind w:left="-567" w:right="284" w:firstLine="708"/>
        <w:jc w:val="both"/>
      </w:pPr>
      <w:r>
        <w:t xml:space="preserve">  Dále je na této odpadní větvi tlakový senzor </w:t>
      </w:r>
      <w:r>
        <w:rPr>
          <w:b/>
          <w:color w:val="76923C" w:themeColor="accent3" w:themeShade="BF"/>
        </w:rPr>
        <w:t>PS1</w:t>
      </w:r>
      <w:r>
        <w:t xml:space="preserve">*, s definovanou životností </w:t>
      </w:r>
      <w:r>
        <w:rPr>
          <w:b/>
        </w:rPr>
        <w:t>50 000</w:t>
      </w:r>
      <w:r>
        <w:t xml:space="preserve"> litrů do kalibrace, který měří tlak v primární – odpadní části nanomodulu. </w:t>
      </w:r>
      <w:r>
        <w:rPr>
          <w:b/>
        </w:rPr>
        <w:t>PS</w:t>
      </w:r>
      <w:r w:rsidR="00D26632">
        <w:rPr>
          <w:b/>
        </w:rPr>
        <w:t>0</w:t>
      </w:r>
      <w:r>
        <w:t xml:space="preserve"> současně kontroluje pokles tlaku mimo definované pásmo a vysílá impuls pro otevření </w:t>
      </w:r>
      <w:r>
        <w:rPr>
          <w:b/>
        </w:rPr>
        <w:t>SV</w:t>
      </w:r>
      <w:r w:rsidR="00D26632">
        <w:rPr>
          <w:b/>
        </w:rPr>
        <w:t>0</w:t>
      </w:r>
      <w:r>
        <w:rPr>
          <w:b/>
        </w:rPr>
        <w:t>NC</w:t>
      </w:r>
      <w:r>
        <w:t xml:space="preserve">, </w:t>
      </w:r>
      <w:r>
        <w:rPr>
          <w:u w:val="single"/>
        </w:rPr>
        <w:t>pokud</w:t>
      </w:r>
      <w:r>
        <w:t xml:space="preserve"> </w:t>
      </w:r>
      <w:proofErr w:type="gramStart"/>
      <w:r>
        <w:t>je  současně</w:t>
      </w:r>
      <w:proofErr w:type="gramEnd"/>
      <w:r>
        <w:t xml:space="preserve"> sepnutý  </w:t>
      </w:r>
      <w:r>
        <w:rPr>
          <w:b/>
        </w:rPr>
        <w:t>FM</w:t>
      </w:r>
      <w:r w:rsidR="00D26632">
        <w:rPr>
          <w:b/>
        </w:rPr>
        <w:t>2</w:t>
      </w:r>
      <w:r>
        <w:rPr>
          <w:b/>
        </w:rPr>
        <w:t xml:space="preserve"> </w:t>
      </w:r>
      <w:r>
        <w:t>(0.05 ~ 0.5 l/min).</w:t>
      </w:r>
    </w:p>
    <w:p w:rsidR="00287B1D" w:rsidRDefault="00BB6CB9">
      <w:pPr>
        <w:ind w:left="-567" w:right="284" w:firstLine="708"/>
        <w:jc w:val="both"/>
        <w:rPr>
          <w:color w:val="00B050"/>
        </w:rPr>
      </w:pPr>
      <w:r>
        <w:t xml:space="preserve">Pokud do </w:t>
      </w:r>
      <w:r>
        <w:rPr>
          <w:b/>
        </w:rPr>
        <w:t>30</w:t>
      </w:r>
      <w:r>
        <w:t xml:space="preserve"> sec od otevření </w:t>
      </w:r>
      <w:r>
        <w:rPr>
          <w:b/>
        </w:rPr>
        <w:t>SV</w:t>
      </w:r>
      <w:r w:rsidR="00D26632">
        <w:rPr>
          <w:b/>
        </w:rPr>
        <w:t>0</w:t>
      </w:r>
      <w:r>
        <w:rPr>
          <w:b/>
        </w:rPr>
        <w:t>NC</w:t>
      </w:r>
      <w:r>
        <w:t xml:space="preserve"> nenaběhne žádný tlak do definovaného pásma, </w:t>
      </w:r>
      <w:r>
        <w:rPr>
          <w:b/>
        </w:rPr>
        <w:t>RDM_2b</w:t>
      </w:r>
      <w:r>
        <w:t xml:space="preserve"> vyšle signál, že „</w:t>
      </w:r>
      <w:r>
        <w:rPr>
          <w:b/>
          <w:color w:val="00B050"/>
        </w:rPr>
        <w:t>na vstupu chybí tlaková voda</w:t>
      </w:r>
      <w:r>
        <w:t>“</w:t>
      </w:r>
      <w:r>
        <w:rPr>
          <w:color w:val="00B050"/>
        </w:rPr>
        <w:t xml:space="preserve"> nebo</w:t>
      </w:r>
      <w:r>
        <w:t xml:space="preserve"> „</w:t>
      </w:r>
      <w:r>
        <w:rPr>
          <w:b/>
          <w:color w:val="00B050"/>
        </w:rPr>
        <w:t>porucha spirálního modulu</w:t>
      </w:r>
      <w:r>
        <w:t xml:space="preserve">“.   Restart po </w:t>
      </w:r>
      <w:r>
        <w:rPr>
          <w:u w:val="single"/>
        </w:rPr>
        <w:t>opravě</w:t>
      </w:r>
      <w:r>
        <w:t xml:space="preserve"> se provede vyjmutím a zasunutím adapteru do elektrické sítě.</w:t>
      </w:r>
      <w:r>
        <w:rPr>
          <w:color w:val="00B050"/>
        </w:rPr>
        <w:t xml:space="preserve"> </w:t>
      </w:r>
    </w:p>
    <w:p w:rsidR="00287B1D" w:rsidRDefault="00BB6CB9">
      <w:pPr>
        <w:ind w:left="-567" w:right="284" w:firstLine="708"/>
        <w:jc w:val="both"/>
      </w:pPr>
      <w:proofErr w:type="gramStart"/>
      <w:r>
        <w:t>Pokud  po</w:t>
      </w:r>
      <w:proofErr w:type="gramEnd"/>
      <w:r>
        <w:t xml:space="preserve"> restartu tlak dosáhne nominální hodnoty po </w:t>
      </w:r>
      <w:r>
        <w:rPr>
          <w:rFonts w:cstheme="minorHAnsi"/>
        </w:rPr>
        <w:t>≤</w:t>
      </w:r>
      <w:r>
        <w:t xml:space="preserve">, než </w:t>
      </w:r>
      <w:r>
        <w:rPr>
          <w:b/>
        </w:rPr>
        <w:t xml:space="preserve">1 </w:t>
      </w:r>
      <w:r>
        <w:t xml:space="preserve">minutě a tlakový senzor zaznamená první pulzy, potom se výše uvedená hláška znovu neobjeví. Pokud bude prodleva </w:t>
      </w:r>
      <w:r>
        <w:rPr>
          <w:rFonts w:ascii="Arial" w:hAnsi="Arial" w:cs="Arial"/>
        </w:rPr>
        <w:t>˃</w:t>
      </w:r>
      <w:r>
        <w:t xml:space="preserve"> </w:t>
      </w:r>
      <w:r>
        <w:rPr>
          <w:b/>
        </w:rPr>
        <w:t>1,5</w:t>
      </w:r>
      <w:r>
        <w:t xml:space="preserve"> minuty objeví se hláška „</w:t>
      </w:r>
      <w:r>
        <w:rPr>
          <w:b/>
          <w:color w:val="00B050"/>
        </w:rPr>
        <w:t>nízký tlak vstupní vody</w:t>
      </w:r>
      <w:r>
        <w:rPr>
          <w:b/>
        </w:rPr>
        <w:t>“</w:t>
      </w:r>
      <w:r>
        <w:t xml:space="preserve"> nebo „ </w:t>
      </w:r>
      <w:proofErr w:type="gramStart"/>
      <w:r>
        <w:rPr>
          <w:b/>
          <w:color w:val="00B050"/>
        </w:rPr>
        <w:t xml:space="preserve">proveď  </w:t>
      </w:r>
      <w:r>
        <w:rPr>
          <w:b/>
          <w:color w:val="00B050"/>
        </w:rPr>
        <w:lastRenderedPageBreak/>
        <w:t>úpravu</w:t>
      </w:r>
      <w:proofErr w:type="gramEnd"/>
      <w:r>
        <w:rPr>
          <w:b/>
          <w:color w:val="00B050"/>
        </w:rPr>
        <w:t xml:space="preserve"> poměrového ventilu C2</w:t>
      </w:r>
      <w:r>
        <w:t xml:space="preserve">“.  Tlakový senzor snímá symetrické pulzy, které </w:t>
      </w:r>
      <w:r>
        <w:rPr>
          <w:b/>
        </w:rPr>
        <w:t>RDM_2b</w:t>
      </w:r>
      <w:r>
        <w:t xml:space="preserve"> převádí na elektrické pulzy s měnící se časovou konstantou, podle vstupního tlaku. </w:t>
      </w:r>
    </w:p>
    <w:p w:rsidR="00287B1D" w:rsidRDefault="00BB6CB9">
      <w:pPr>
        <w:ind w:left="-567" w:right="284" w:firstLine="708"/>
        <w:jc w:val="both"/>
      </w:pPr>
      <w:r>
        <w:t xml:space="preserve">Tento signál komunikační modul vyhodnotí a podle struktury (délky) pulzů, v další závislosti na tlaku </w:t>
      </w:r>
      <w:r>
        <w:rPr>
          <w:b/>
        </w:rPr>
        <w:t xml:space="preserve">PS1 </w:t>
      </w:r>
      <w:r>
        <w:t xml:space="preserve"> a průtoku </w:t>
      </w:r>
      <w:r>
        <w:rPr>
          <w:b/>
          <w:color w:val="76923C" w:themeColor="accent3" w:themeShade="BF"/>
        </w:rPr>
        <w:t>FM1</w:t>
      </w:r>
      <w:r>
        <w:t xml:space="preserve">  </w:t>
      </w:r>
      <w:r>
        <w:rPr>
          <w:color w:val="0000FF"/>
        </w:rPr>
        <w:t>otevírá</w:t>
      </w:r>
      <w:r>
        <w:t xml:space="preserve"> nebo </w:t>
      </w:r>
      <w:r>
        <w:rPr>
          <w:color w:val="FF0000"/>
        </w:rPr>
        <w:t>zavírá</w:t>
      </w:r>
      <w:r>
        <w:t xml:space="preserve"> </w:t>
      </w:r>
      <w:r>
        <w:rPr>
          <w:b/>
        </w:rPr>
        <w:t>SV</w:t>
      </w:r>
      <w:r w:rsidR="00D26632">
        <w:rPr>
          <w:b/>
        </w:rPr>
        <w:t>0</w:t>
      </w:r>
      <w:r>
        <w:rPr>
          <w:b/>
        </w:rPr>
        <w:t>NC</w:t>
      </w:r>
      <w:r>
        <w:t xml:space="preserve">. </w:t>
      </w:r>
    </w:p>
    <w:p w:rsidR="00287B1D" w:rsidRDefault="00BB6CB9">
      <w:pPr>
        <w:ind w:left="-567" w:right="284" w:firstLine="708"/>
        <w:jc w:val="both"/>
      </w:pPr>
      <w:r>
        <w:t xml:space="preserve">Koncentrát odchází alternativně přes  </w:t>
      </w:r>
      <w:r>
        <w:rPr>
          <w:b/>
        </w:rPr>
        <w:t xml:space="preserve">¼“ </w:t>
      </w:r>
      <w:r>
        <w:rPr>
          <w:color w:val="FFFFFF" w:themeColor="background1"/>
          <w:highlight w:val="blue"/>
        </w:rPr>
        <w:t>modrobílý</w:t>
      </w:r>
      <w:r>
        <w:t xml:space="preserve"> servisní ventil </w:t>
      </w:r>
      <w:r>
        <w:rPr>
          <w:b/>
        </w:rPr>
        <w:t>C6</w:t>
      </w:r>
      <w:r>
        <w:t xml:space="preserve"> a </w:t>
      </w:r>
      <w:r>
        <w:rPr>
          <w:b/>
        </w:rPr>
        <w:t>¼“</w:t>
      </w:r>
      <w:r>
        <w:t xml:space="preserve"> plastovou průchodku QC a přes </w:t>
      </w:r>
      <w:r>
        <w:rPr>
          <w:color w:val="FFFFFF" w:themeColor="background1"/>
          <w:highlight w:val="black"/>
        </w:rPr>
        <w:t>černou plastovou</w:t>
      </w:r>
      <w:r>
        <w:rPr>
          <w:color w:val="FFFFFF" w:themeColor="background1"/>
        </w:rPr>
        <w:t xml:space="preserve"> </w:t>
      </w:r>
      <w:r>
        <w:rPr>
          <w:b/>
        </w:rPr>
        <w:t>¼“ / Js 40 – 50</w:t>
      </w:r>
      <w:r>
        <w:t xml:space="preserve"> </w:t>
      </w:r>
      <w:r>
        <w:rPr>
          <w:color w:val="FFFFFF" w:themeColor="background1"/>
          <w:highlight w:val="black"/>
        </w:rPr>
        <w:t>odpadní přírubu</w:t>
      </w:r>
      <w:r>
        <w:t xml:space="preserve"> </w:t>
      </w:r>
      <w:r>
        <w:rPr>
          <w:b/>
        </w:rPr>
        <w:t>C4</w:t>
      </w:r>
      <w:r>
        <w:t xml:space="preserve"> do odpadu, nebo do zásobní nádrže. S odpadním koncentrátem lze zavlažovat zahradu nebo i splachovat </w:t>
      </w:r>
      <w:r>
        <w:rPr>
          <w:b/>
        </w:rPr>
        <w:t>WC</w:t>
      </w:r>
      <w:r>
        <w:t>.</w:t>
      </w:r>
    </w:p>
    <w:p w:rsidR="00287B1D" w:rsidRDefault="00BB6CB9">
      <w:pPr>
        <w:ind w:left="-567" w:right="284"/>
        <w:jc w:val="both"/>
      </w:pPr>
      <w:r>
        <w:t xml:space="preserve"> </w:t>
      </w:r>
      <w:r>
        <w:tab/>
        <w:t xml:space="preserve">Permeát  natéká </w:t>
      </w:r>
      <w:r>
        <w:rPr>
          <w:highlight w:val="yellow"/>
        </w:rPr>
        <w:t>žlutou plastovou hadičkou</w:t>
      </w:r>
      <w:r>
        <w:t xml:space="preserve"> přes </w:t>
      </w:r>
      <w:r>
        <w:rPr>
          <w:b/>
        </w:rPr>
        <w:t xml:space="preserve">¼“ </w:t>
      </w:r>
      <w:r>
        <w:t xml:space="preserve">zpětnou klapku  </w:t>
      </w:r>
      <w:r>
        <w:rPr>
          <w:b/>
        </w:rPr>
        <w:t>C5</w:t>
      </w:r>
      <w:r>
        <w:t xml:space="preserve"> – </w:t>
      </w:r>
      <w:r>
        <w:rPr>
          <w:b/>
        </w:rPr>
        <w:t>ZK1</w:t>
      </w:r>
      <w:r>
        <w:t xml:space="preserve">  a dále přes </w:t>
      </w:r>
      <w:r>
        <w:rPr>
          <w:b/>
        </w:rPr>
        <w:t>¼“</w:t>
      </w:r>
      <w:r>
        <w:t xml:space="preserve"> </w:t>
      </w:r>
      <w:r>
        <w:rPr>
          <w:b/>
        </w:rPr>
        <w:t>Y</w:t>
      </w:r>
      <w:r>
        <w:t xml:space="preserve"> QC  a přes  </w:t>
      </w:r>
      <w:r>
        <w:rPr>
          <w:b/>
        </w:rPr>
        <w:t>¼“</w:t>
      </w:r>
      <w:r>
        <w:t xml:space="preserve"> </w:t>
      </w:r>
      <w:proofErr w:type="gramStart"/>
      <w:r>
        <w:rPr>
          <w:color w:val="FFFFFF" w:themeColor="background1"/>
          <w:highlight w:val="blue"/>
        </w:rPr>
        <w:t>modrobílý</w:t>
      </w:r>
      <w:r>
        <w:t xml:space="preserve">  servisní</w:t>
      </w:r>
      <w:proofErr w:type="gramEnd"/>
      <w:r>
        <w:t xml:space="preserve">  ventil a přes  </w:t>
      </w:r>
      <w:r>
        <w:rPr>
          <w:b/>
        </w:rPr>
        <w:t>¼“</w:t>
      </w:r>
      <w:r>
        <w:t xml:space="preserve"> plastovou průchodku  QC, umístěnou na boku nerezového rámu, do externí </w:t>
      </w:r>
      <w:r>
        <w:rPr>
          <w:b/>
        </w:rPr>
        <w:t xml:space="preserve">12 l </w:t>
      </w:r>
      <w:r>
        <w:t xml:space="preserve">tlakové zásobní nádrže (6 l efektivních). </w:t>
      </w:r>
    </w:p>
    <w:p w:rsidR="00287B1D" w:rsidRDefault="00BB6CB9">
      <w:pPr>
        <w:ind w:left="-567" w:right="284"/>
        <w:jc w:val="center"/>
        <w:rPr>
          <w:b/>
          <w:i/>
          <w:color w:val="FF0000"/>
          <w:u w:val="single"/>
        </w:rPr>
      </w:pPr>
      <w:r>
        <w:rPr>
          <w:b/>
          <w:i/>
          <w:color w:val="FF0000"/>
          <w:u w:val="single"/>
        </w:rPr>
        <w:t>ad 6) Popis funkce automatické regenerace vody v tlakové nádrži a FM2</w:t>
      </w:r>
    </w:p>
    <w:p w:rsidR="00287B1D" w:rsidRDefault="00BB6CB9">
      <w:pPr>
        <w:ind w:left="-567" w:right="284" w:firstLine="708"/>
        <w:jc w:val="both"/>
      </w:pPr>
      <w:r>
        <w:t xml:space="preserve">V případě, že se filtrační technologie </w:t>
      </w:r>
      <w:r>
        <w:rPr>
          <w:b/>
        </w:rPr>
        <w:t>AQ3</w:t>
      </w:r>
      <w:r>
        <w:t xml:space="preserve"> Mini nepoužívá </w:t>
      </w:r>
      <w:r>
        <w:rPr>
          <w:color w:val="FF0000"/>
        </w:rPr>
        <w:t xml:space="preserve">více jak </w:t>
      </w:r>
      <w:r>
        <w:rPr>
          <w:b/>
        </w:rPr>
        <w:t xml:space="preserve">14 </w:t>
      </w:r>
      <w:r>
        <w:t xml:space="preserve">dnů, voda se v zásobní nádrži automaticky přes </w:t>
      </w:r>
      <w:r>
        <w:rPr>
          <w:highlight w:val="yellow"/>
        </w:rPr>
        <w:t>žlutou plastovou hadičku</w:t>
      </w:r>
      <w:r>
        <w:t xml:space="preserve"> a </w:t>
      </w:r>
      <w:r>
        <w:rPr>
          <w:b/>
        </w:rPr>
        <w:t xml:space="preserve">¼“ T </w:t>
      </w:r>
      <w:r>
        <w:t xml:space="preserve">kus QC  na stejné větvi vyprázdní tak, aby mohla natéci do zásobní nádrže nová, zcela čerstvá voda.  Automatický proplach se provádí přes zpětnou klapku </w:t>
      </w:r>
      <w:r>
        <w:rPr>
          <w:b/>
        </w:rPr>
        <w:t xml:space="preserve">ZK2* </w:t>
      </w:r>
      <w:r>
        <w:rPr>
          <w:i/>
          <w:color w:val="0000FF"/>
        </w:rPr>
        <w:t>(blokuje možnost nátoku retenátu do vyrobeného permeátu)</w:t>
      </w:r>
      <w:r>
        <w:rPr>
          <w:color w:val="0000FF"/>
        </w:rPr>
        <w:t xml:space="preserve"> </w:t>
      </w:r>
      <w:r>
        <w:t xml:space="preserve">pomocí </w:t>
      </w:r>
      <w:r>
        <w:rPr>
          <w:b/>
        </w:rPr>
        <w:t>SV</w:t>
      </w:r>
      <w:r w:rsidR="00142ED0">
        <w:rPr>
          <w:b/>
        </w:rPr>
        <w:t>1</w:t>
      </w:r>
      <w:r>
        <w:rPr>
          <w:b/>
        </w:rPr>
        <w:t>NC*</w:t>
      </w:r>
      <w:r>
        <w:t xml:space="preserve">, jehož výstup je zaveden přes </w:t>
      </w:r>
      <w:r>
        <w:rPr>
          <w:b/>
        </w:rPr>
        <w:t>¼“</w:t>
      </w:r>
      <w:r>
        <w:t xml:space="preserve"> </w:t>
      </w:r>
      <w:r>
        <w:rPr>
          <w:b/>
        </w:rPr>
        <w:t xml:space="preserve">T </w:t>
      </w:r>
      <w:r>
        <w:t xml:space="preserve">kus QC, do </w:t>
      </w:r>
      <w:r>
        <w:rPr>
          <w:color w:val="FFFFFF" w:themeColor="background1"/>
          <w:highlight w:val="black"/>
        </w:rPr>
        <w:t>černé plastové odpadní hadičky</w:t>
      </w:r>
      <w:r>
        <w:t xml:space="preserve">, který přes </w:t>
      </w:r>
      <w:r>
        <w:rPr>
          <w:b/>
        </w:rPr>
        <w:t>¼“</w:t>
      </w:r>
      <w:r>
        <w:t xml:space="preserve">plastovou průchodku, prochází do odpadní příruby. </w:t>
      </w:r>
    </w:p>
    <w:p w:rsidR="00287B1D" w:rsidRDefault="00BB6CB9">
      <w:pPr>
        <w:ind w:left="-567" w:right="284" w:firstLine="708"/>
        <w:jc w:val="both"/>
      </w:pPr>
      <w:r>
        <w:rPr>
          <w:highlight w:val="green"/>
        </w:rPr>
        <w:t xml:space="preserve">Automatická regenerace vody v nádrži je nastavena tak, že pokud </w:t>
      </w:r>
      <w:r>
        <w:rPr>
          <w:b/>
          <w:highlight w:val="green"/>
        </w:rPr>
        <w:t>14</w:t>
      </w:r>
      <w:r>
        <w:rPr>
          <w:highlight w:val="green"/>
        </w:rPr>
        <w:t xml:space="preserve"> dnů není zaznamenán na </w:t>
      </w:r>
      <w:r>
        <w:rPr>
          <w:b/>
          <w:highlight w:val="green"/>
        </w:rPr>
        <w:t>FM</w:t>
      </w:r>
      <w:r w:rsidR="00142ED0">
        <w:rPr>
          <w:b/>
          <w:highlight w:val="green"/>
        </w:rPr>
        <w:t>2</w:t>
      </w:r>
      <w:r>
        <w:rPr>
          <w:b/>
          <w:highlight w:val="green"/>
        </w:rPr>
        <w:t xml:space="preserve"> </w:t>
      </w:r>
      <w:r>
        <w:rPr>
          <w:highlight w:val="green"/>
        </w:rPr>
        <w:t>u standard</w:t>
      </w:r>
      <w:r>
        <w:rPr>
          <w:b/>
          <w:highlight w:val="green"/>
        </w:rPr>
        <w:t xml:space="preserve"> </w:t>
      </w:r>
      <w:r>
        <w:rPr>
          <w:highlight w:val="green"/>
        </w:rPr>
        <w:t xml:space="preserve">(0.05 ~ 0.5 l/min) nebo u </w:t>
      </w:r>
      <w:r>
        <w:rPr>
          <w:b/>
          <w:highlight w:val="green"/>
        </w:rPr>
        <w:t>FM</w:t>
      </w:r>
      <w:r w:rsidR="00142ED0">
        <w:rPr>
          <w:b/>
          <w:highlight w:val="green"/>
        </w:rPr>
        <w:t>1</w:t>
      </w:r>
      <w:r>
        <w:rPr>
          <w:highlight w:val="green"/>
        </w:rPr>
        <w:t xml:space="preserve"> u café průtok, </w:t>
      </w:r>
      <w:r>
        <w:rPr>
          <w:color w:val="FF0000"/>
          <w:highlight w:val="green"/>
        </w:rPr>
        <w:t>zavře</w:t>
      </w:r>
      <w:r>
        <w:rPr>
          <w:highlight w:val="green"/>
        </w:rPr>
        <w:t xml:space="preserve"> se </w:t>
      </w:r>
      <w:r>
        <w:rPr>
          <w:b/>
          <w:highlight w:val="green"/>
        </w:rPr>
        <w:t>SV</w:t>
      </w:r>
      <w:r w:rsidR="00142ED0">
        <w:rPr>
          <w:b/>
          <w:highlight w:val="green"/>
        </w:rPr>
        <w:t>0</w:t>
      </w:r>
      <w:r>
        <w:rPr>
          <w:b/>
          <w:highlight w:val="green"/>
        </w:rPr>
        <w:t>NC</w:t>
      </w:r>
      <w:r>
        <w:rPr>
          <w:highlight w:val="green"/>
        </w:rPr>
        <w:t xml:space="preserve"> a současně se </w:t>
      </w:r>
      <w:r>
        <w:rPr>
          <w:color w:val="0000FF"/>
          <w:highlight w:val="green"/>
        </w:rPr>
        <w:t>otevře</w:t>
      </w:r>
      <w:r>
        <w:rPr>
          <w:highlight w:val="green"/>
        </w:rPr>
        <w:t xml:space="preserve"> </w:t>
      </w:r>
      <w:r>
        <w:rPr>
          <w:b/>
          <w:highlight w:val="green"/>
        </w:rPr>
        <w:t>SV</w:t>
      </w:r>
      <w:r w:rsidR="00142ED0">
        <w:rPr>
          <w:b/>
          <w:highlight w:val="green"/>
        </w:rPr>
        <w:t>1</w:t>
      </w:r>
      <w:r>
        <w:rPr>
          <w:b/>
          <w:highlight w:val="green"/>
        </w:rPr>
        <w:t>NC</w:t>
      </w:r>
      <w:r>
        <w:rPr>
          <w:highlight w:val="green"/>
        </w:rPr>
        <w:t xml:space="preserve">, který je otevřen tak dlouho, dokud se nádrž nevyprázdní, resp. pokud se průtok vody přes </w:t>
      </w:r>
      <w:r>
        <w:rPr>
          <w:b/>
          <w:highlight w:val="green"/>
        </w:rPr>
        <w:t>FM</w:t>
      </w:r>
      <w:r w:rsidR="00142ED0">
        <w:rPr>
          <w:b/>
          <w:highlight w:val="green"/>
        </w:rPr>
        <w:t>2</w:t>
      </w:r>
      <w:r>
        <w:rPr>
          <w:b/>
          <w:highlight w:val="green"/>
        </w:rPr>
        <w:t xml:space="preserve"> </w:t>
      </w:r>
      <w:r>
        <w:rPr>
          <w:highlight w:val="green"/>
        </w:rPr>
        <w:t xml:space="preserve">(0.05 ~ 0.5 l/min) nebo </w:t>
      </w:r>
      <w:r>
        <w:rPr>
          <w:b/>
          <w:highlight w:val="green"/>
        </w:rPr>
        <w:t>FM</w:t>
      </w:r>
      <w:r w:rsidR="00142ED0">
        <w:rPr>
          <w:b/>
          <w:highlight w:val="green"/>
        </w:rPr>
        <w:t>1</w:t>
      </w:r>
      <w:r>
        <w:rPr>
          <w:b/>
          <w:highlight w:val="green"/>
        </w:rPr>
        <w:t xml:space="preserve"> </w:t>
      </w:r>
      <w:r>
        <w:rPr>
          <w:highlight w:val="green"/>
        </w:rPr>
        <w:t xml:space="preserve">nezastaví. Po zastavení průtoku vody přes </w:t>
      </w:r>
      <w:r>
        <w:rPr>
          <w:b/>
          <w:highlight w:val="green"/>
        </w:rPr>
        <w:t>FM</w:t>
      </w:r>
      <w:r w:rsidR="00142ED0">
        <w:rPr>
          <w:b/>
          <w:highlight w:val="green"/>
        </w:rPr>
        <w:t>2</w:t>
      </w:r>
      <w:r>
        <w:rPr>
          <w:b/>
          <w:highlight w:val="green"/>
        </w:rPr>
        <w:t xml:space="preserve"> </w:t>
      </w:r>
      <w:r>
        <w:rPr>
          <w:highlight w:val="green"/>
        </w:rPr>
        <w:t>(0.05 ~ 0.5 l/min) nebo FM2</w:t>
      </w:r>
      <w:r>
        <w:rPr>
          <w:b/>
          <w:highlight w:val="green"/>
        </w:rPr>
        <w:t xml:space="preserve"> </w:t>
      </w:r>
      <w:r>
        <w:rPr>
          <w:highlight w:val="green"/>
        </w:rPr>
        <w:t xml:space="preserve">se </w:t>
      </w:r>
      <w:r>
        <w:rPr>
          <w:b/>
          <w:highlight w:val="green"/>
        </w:rPr>
        <w:t>SV</w:t>
      </w:r>
      <w:r w:rsidR="00142ED0">
        <w:rPr>
          <w:b/>
          <w:highlight w:val="green"/>
        </w:rPr>
        <w:t>1</w:t>
      </w:r>
      <w:r>
        <w:rPr>
          <w:b/>
          <w:highlight w:val="green"/>
        </w:rPr>
        <w:t>NC</w:t>
      </w:r>
      <w:r>
        <w:rPr>
          <w:highlight w:val="green"/>
        </w:rPr>
        <w:t xml:space="preserve"> </w:t>
      </w:r>
      <w:r>
        <w:rPr>
          <w:color w:val="FF0000"/>
          <w:highlight w:val="green"/>
        </w:rPr>
        <w:t>zavře</w:t>
      </w:r>
      <w:r>
        <w:rPr>
          <w:highlight w:val="green"/>
        </w:rPr>
        <w:t xml:space="preserve"> a </w:t>
      </w:r>
      <w:r>
        <w:rPr>
          <w:color w:val="0000FF"/>
          <w:highlight w:val="green"/>
        </w:rPr>
        <w:t xml:space="preserve">otevře </w:t>
      </w:r>
      <w:r>
        <w:rPr>
          <w:highlight w:val="green"/>
        </w:rPr>
        <w:t xml:space="preserve">se nátokový </w:t>
      </w:r>
      <w:r>
        <w:rPr>
          <w:b/>
          <w:highlight w:val="green"/>
        </w:rPr>
        <w:t>SV</w:t>
      </w:r>
      <w:r w:rsidR="00142ED0">
        <w:rPr>
          <w:b/>
          <w:highlight w:val="green"/>
        </w:rPr>
        <w:t>0</w:t>
      </w:r>
      <w:r>
        <w:rPr>
          <w:b/>
          <w:highlight w:val="green"/>
        </w:rPr>
        <w:t>NC</w:t>
      </w:r>
      <w:r>
        <w:rPr>
          <w:highlight w:val="green"/>
        </w:rPr>
        <w:t xml:space="preserve">, který zůstane otevřen po celou dobu nátoku vody do tlakové </w:t>
      </w:r>
      <w:proofErr w:type="gramStart"/>
      <w:r>
        <w:rPr>
          <w:highlight w:val="green"/>
        </w:rPr>
        <w:t>nádrže.</w:t>
      </w:r>
      <w:r>
        <w:t xml:space="preserve"> ????</w:t>
      </w:r>
      <w:proofErr w:type="gramEnd"/>
      <w:r>
        <w:t xml:space="preserve"> </w:t>
      </w:r>
    </w:p>
    <w:p w:rsidR="00287B1D" w:rsidRDefault="00BB6CB9">
      <w:pPr>
        <w:ind w:left="-567" w:right="284" w:firstLine="708"/>
        <w:jc w:val="both"/>
      </w:pPr>
      <w:r>
        <w:t xml:space="preserve">Jakmile se naplní tlaková nádrž a není odběr vody, </w:t>
      </w:r>
      <w:r>
        <w:rPr>
          <w:b/>
        </w:rPr>
        <w:t>FM</w:t>
      </w:r>
      <w:r w:rsidR="00142ED0">
        <w:rPr>
          <w:b/>
        </w:rPr>
        <w:t>2</w:t>
      </w:r>
      <w:r>
        <w:rPr>
          <w:b/>
        </w:rPr>
        <w:t xml:space="preserve"> </w:t>
      </w:r>
      <w:r>
        <w:t xml:space="preserve">(0.05 ~ 0.5 l/min) nebo </w:t>
      </w:r>
      <w:r>
        <w:rPr>
          <w:b/>
        </w:rPr>
        <w:t>FM</w:t>
      </w:r>
      <w:r w:rsidR="00142ED0">
        <w:rPr>
          <w:b/>
        </w:rPr>
        <w:t>1</w:t>
      </w:r>
      <w:r>
        <w:rPr>
          <w:b/>
        </w:rPr>
        <w:t xml:space="preserve"> </w:t>
      </w:r>
      <w:r>
        <w:t xml:space="preserve">je nečinný, </w:t>
      </w:r>
      <w:r>
        <w:rPr>
          <w:b/>
        </w:rPr>
        <w:t>SV</w:t>
      </w:r>
      <w:r w:rsidR="00142ED0">
        <w:rPr>
          <w:b/>
        </w:rPr>
        <w:t>0</w:t>
      </w:r>
      <w:r>
        <w:rPr>
          <w:b/>
        </w:rPr>
        <w:t>NC</w:t>
      </w:r>
      <w:r>
        <w:t xml:space="preserve"> se zavře, a spirální modul se odtlakuje. Jakmile se otevře odběrný kohoutek, voda začne z tlakové nádrže protékat přes </w:t>
      </w:r>
      <w:r>
        <w:rPr>
          <w:b/>
        </w:rPr>
        <w:t>FM</w:t>
      </w:r>
      <w:r w:rsidR="00142ED0">
        <w:rPr>
          <w:b/>
        </w:rPr>
        <w:t>2</w:t>
      </w:r>
      <w:r>
        <w:rPr>
          <w:b/>
        </w:rPr>
        <w:t xml:space="preserve"> </w:t>
      </w:r>
      <w:r>
        <w:t xml:space="preserve">(0.05 ~ 0.5 l/min) nebo </w:t>
      </w:r>
      <w:r>
        <w:rPr>
          <w:b/>
        </w:rPr>
        <w:t>FM</w:t>
      </w:r>
      <w:r w:rsidR="00142ED0">
        <w:rPr>
          <w:b/>
        </w:rPr>
        <w:t>1</w:t>
      </w:r>
      <w:r>
        <w:t xml:space="preserve">, který prostřednictvím komunikačního modulu aktivuje </w:t>
      </w:r>
      <w:r>
        <w:rPr>
          <w:b/>
        </w:rPr>
        <w:t xml:space="preserve">UV-C LED </w:t>
      </w:r>
      <w:r>
        <w:t>a</w:t>
      </w:r>
      <w:r>
        <w:rPr>
          <w:b/>
        </w:rPr>
        <w:t xml:space="preserve"> SV</w:t>
      </w:r>
      <w:r w:rsidR="00142ED0">
        <w:rPr>
          <w:b/>
        </w:rPr>
        <w:t>0</w:t>
      </w:r>
      <w:r>
        <w:rPr>
          <w:b/>
        </w:rPr>
        <w:t>NC</w:t>
      </w:r>
      <w:r>
        <w:t>, který se otevře a umožní doplnění tlakové nádrže.</w:t>
      </w:r>
    </w:p>
    <w:p w:rsidR="00287B1D" w:rsidRDefault="00BB6CB9">
      <w:pPr>
        <w:ind w:left="-567" w:right="284" w:firstLine="708"/>
        <w:jc w:val="both"/>
        <w:rPr>
          <w:lang w:eastAsia="cs-CZ"/>
        </w:rPr>
      </w:pPr>
      <w:r>
        <w:t xml:space="preserve">Z tlakové nádrže se tato upravená voda přivádí přes </w:t>
      </w:r>
      <w:r>
        <w:rPr>
          <w:color w:val="FFFFFF" w:themeColor="background1"/>
          <w:highlight w:val="blue"/>
        </w:rPr>
        <w:t>modrou plastovou hadičku</w:t>
      </w:r>
      <w:r>
        <w:t xml:space="preserve"> do postfiltrů, s definovanou životností </w:t>
      </w:r>
      <w:r>
        <w:rPr>
          <w:b/>
        </w:rPr>
        <w:t>6 000</w:t>
      </w:r>
      <w:r>
        <w:t xml:space="preserve"> litrů, kde se zbavuje příchutí, voda se polarizuje pomocí generátoru záporných iontů. Voda se dále remineralizuje a na závěr se přidává molekulární kyslík. V případě modelu </w:t>
      </w:r>
      <w:r>
        <w:rPr>
          <w:color w:val="CC00FF"/>
          <w:u w:val="single"/>
        </w:rPr>
        <w:t>Exclusive</w:t>
      </w:r>
      <w:r>
        <w:t xml:space="preserve"> se mění generátor kyslíku za energoaktivátor.</w:t>
      </w:r>
      <w:r>
        <w:rPr>
          <w:lang w:eastAsia="cs-CZ"/>
        </w:rPr>
        <w:t xml:space="preserve"> </w:t>
      </w:r>
    </w:p>
    <w:p w:rsidR="00287B1D" w:rsidRDefault="00287B1D">
      <w:pPr>
        <w:ind w:left="-567" w:right="284"/>
        <w:jc w:val="center"/>
        <w:rPr>
          <w:b/>
          <w:i/>
          <w:color w:val="FF0000"/>
          <w:u w:val="single"/>
          <w:lang w:eastAsia="cs-CZ"/>
        </w:rPr>
      </w:pPr>
    </w:p>
    <w:p w:rsidR="00287B1D" w:rsidRDefault="00287B1D">
      <w:pPr>
        <w:ind w:left="-567" w:right="284"/>
        <w:jc w:val="center"/>
        <w:rPr>
          <w:b/>
          <w:i/>
          <w:color w:val="FF0000"/>
          <w:u w:val="single"/>
          <w:lang w:eastAsia="cs-CZ"/>
        </w:rPr>
      </w:pPr>
    </w:p>
    <w:p w:rsidR="00287B1D" w:rsidRDefault="00BB6CB9">
      <w:pPr>
        <w:ind w:left="-567" w:right="284"/>
        <w:jc w:val="center"/>
        <w:rPr>
          <w:b/>
          <w:i/>
          <w:color w:val="FF0000"/>
          <w:u w:val="single"/>
        </w:rPr>
      </w:pPr>
      <w:proofErr w:type="gramStart"/>
      <w:r>
        <w:rPr>
          <w:b/>
          <w:i/>
          <w:color w:val="FF0000"/>
          <w:u w:val="single"/>
          <w:lang w:eastAsia="cs-CZ"/>
        </w:rPr>
        <w:t xml:space="preserve">ad 7)  </w:t>
      </w:r>
      <w:r>
        <w:rPr>
          <w:b/>
          <w:i/>
          <w:color w:val="FF0000"/>
          <w:u w:val="single"/>
        </w:rPr>
        <w:t>Popis</w:t>
      </w:r>
      <w:proofErr w:type="gramEnd"/>
      <w:r>
        <w:rPr>
          <w:b/>
          <w:i/>
          <w:color w:val="FF0000"/>
          <w:u w:val="single"/>
        </w:rPr>
        <w:t xml:space="preserve"> funkce magnetického energoaktivátoru</w:t>
      </w:r>
    </w:p>
    <w:p w:rsidR="00BB7A9C" w:rsidRDefault="00BB7A9C">
      <w:pPr>
        <w:ind w:left="-567" w:right="284"/>
        <w:jc w:val="center"/>
        <w:rPr>
          <w:b/>
          <w:i/>
          <w:color w:val="FF0000"/>
          <w:u w:val="single"/>
        </w:rPr>
      </w:pPr>
      <w:r>
        <w:rPr>
          <w:noProof/>
          <w:lang w:eastAsia="cs-CZ"/>
        </w:rPr>
        <w:drawing>
          <wp:anchor distT="0" distB="0" distL="0" distR="0" simplePos="0" relativeHeight="54" behindDoc="0" locked="0" layoutInCell="1" allowOverlap="1" wp14:anchorId="60738478" wp14:editId="4AADCAB5">
            <wp:simplePos x="0" y="0"/>
            <wp:positionH relativeFrom="column">
              <wp:posOffset>1098550</wp:posOffset>
            </wp:positionH>
            <wp:positionV relativeFrom="paragraph">
              <wp:posOffset>81280</wp:posOffset>
            </wp:positionV>
            <wp:extent cx="3773170" cy="692785"/>
            <wp:effectExtent l="0" t="0" r="0" b="0"/>
            <wp:wrapNone/>
            <wp:docPr id="11" name="Obrázek 56" descr="https://www.aqua-spin.com/wp-content/uploads/2015/02/pvc-mit-wass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56" descr="https://www.aqua-spin.com/wp-content/uploads/2015/02/pvc-mit-wasser-1.jpg"/>
                    <pic:cNvPicPr>
                      <a:picLocks noChangeAspect="1" noChangeArrowheads="1"/>
                    </pic:cNvPicPr>
                  </pic:nvPicPr>
                  <pic:blipFill>
                    <a:blip r:embed="rId27"/>
                    <a:stretch>
                      <a:fillRect/>
                    </a:stretch>
                  </pic:blipFill>
                  <pic:spPr bwMode="auto">
                    <a:xfrm>
                      <a:off x="0" y="0"/>
                      <a:ext cx="3773170" cy="692785"/>
                    </a:xfrm>
                    <a:prstGeom prst="rect">
                      <a:avLst/>
                    </a:prstGeom>
                  </pic:spPr>
                </pic:pic>
              </a:graphicData>
            </a:graphic>
          </wp:anchor>
        </w:drawing>
      </w:r>
    </w:p>
    <w:p w:rsidR="00BB7A9C" w:rsidRDefault="00BB7A9C">
      <w:pPr>
        <w:ind w:left="-567" w:right="284"/>
        <w:jc w:val="center"/>
        <w:rPr>
          <w:b/>
          <w:i/>
          <w:color w:val="FF0000"/>
          <w:u w:val="single"/>
        </w:rPr>
      </w:pPr>
    </w:p>
    <w:p w:rsidR="00287B1D" w:rsidRDefault="00287B1D">
      <w:pPr>
        <w:ind w:left="-567" w:right="284" w:firstLine="708"/>
        <w:jc w:val="both"/>
        <w:rPr>
          <w:lang w:eastAsia="cs-CZ"/>
        </w:rPr>
      </w:pPr>
    </w:p>
    <w:p w:rsidR="00287B1D" w:rsidRDefault="00BB6CB9">
      <w:pPr>
        <w:ind w:left="1557" w:right="284" w:firstLine="567"/>
        <w:jc w:val="both"/>
        <w:rPr>
          <w:sz w:val="14"/>
          <w:szCs w:val="14"/>
          <w:vertAlign w:val="superscript"/>
        </w:rPr>
      </w:pPr>
      <w:r>
        <w:rPr>
          <w:lang w:eastAsia="cs-CZ"/>
        </w:rPr>
        <w:t xml:space="preserve"> </w:t>
      </w:r>
      <w:proofErr w:type="gramStart"/>
      <w:r>
        <w:rPr>
          <w:sz w:val="14"/>
          <w:szCs w:val="14"/>
          <w:lang w:eastAsia="cs-CZ"/>
        </w:rPr>
        <w:t>Obr.10</w:t>
      </w:r>
      <w:proofErr w:type="gramEnd"/>
      <w:r>
        <w:rPr>
          <w:sz w:val="14"/>
          <w:szCs w:val="14"/>
          <w:lang w:eastAsia="cs-CZ"/>
        </w:rPr>
        <w:t xml:space="preserve"> Řez magnetickým energoaktivátorem </w:t>
      </w:r>
      <w:r>
        <w:rPr>
          <w:sz w:val="14"/>
          <w:szCs w:val="14"/>
        </w:rPr>
        <w:t xml:space="preserve">(chybí u AQ3 Mini Basic)                       </w:t>
      </w:r>
    </w:p>
    <w:p w:rsidR="00287B1D" w:rsidRPr="00BB7A9C" w:rsidRDefault="00BB6CB9">
      <w:pPr>
        <w:pStyle w:val="Odstavecseseznamem"/>
        <w:ind w:left="-567" w:right="284"/>
        <w:jc w:val="both"/>
      </w:pPr>
      <w:r w:rsidRPr="00BB7A9C">
        <w:t>Energoaktivátor vody, pracující s magneto biorezonanční energo-informační technologií, je prvním zařízením svého druhu, které umožňuje mít k dispozici stále čerstvou, aktivovanou, energetickou vodu, kdykoliv si vzpomenete. Voda, procházející přes energoaktivátor, se velmi silně aktivuje pomocí bio rezonance a matrice nastaveného energo-informačního pole. Mění se její krystalická mřížka, maže se negativní informace – takzvaná paměť vody. Její energetické vlastnosti se nemění ani při mikrovlnném ohřevu. Je velmi chutná, jemná a blahodárně působí při detoxikaci orgánů a buněk v našem organismu. Pravidelným pitím této vody se buňky regenerují a jsou schopny začít řídit proces obnovy ozdravení organismu. Aktivovaná voda zvyšuje energetický potenciál lidského organismu a tím pomáhá v boji proti škodlivým volným radikálům. Zvyšuje výkon celého organismu bez dopingu. Bylinné čaje, vařené v této vodě, mají větší účinek na naše zdraví. Velice vhodné je používat aktivovanou vodu na vaření. Budete silnější, krásnější, zdravější a odolnější proti nemocem. Náš život, naše zdraví a naše nemoci závisí na tom, jaká voda, v jakém množství a s jakým obsahem informací plyne v naší krvi a lymfě. Pro zdravé lidi je čistá voda vynikající látkou pro zachování zdraví a síly a také je prvním prostředkem v léčbě nemocí. Voda je nejpřirozenějším, nejlevnějším a nejbezpečnějším lékem.</w:t>
      </w:r>
    </w:p>
    <w:p w:rsidR="00287B1D" w:rsidRDefault="00BB6CB9">
      <w:pPr>
        <w:ind w:left="-567" w:right="284"/>
        <w:jc w:val="center"/>
        <w:rPr>
          <w:b/>
          <w:i/>
          <w:color w:val="FF0000"/>
          <w:u w:val="single"/>
        </w:rPr>
      </w:pPr>
      <w:r>
        <w:rPr>
          <w:b/>
          <w:i/>
          <w:color w:val="FF0000"/>
          <w:u w:val="single"/>
        </w:rPr>
        <w:t>ad 8) Popis funkce regulátoru tlaku, SW v RDM_2B a FM2</w:t>
      </w:r>
    </w:p>
    <w:p w:rsidR="00287B1D" w:rsidRDefault="00BB6CB9">
      <w:pPr>
        <w:ind w:left="-567" w:right="284" w:firstLine="708"/>
        <w:jc w:val="both"/>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t xml:space="preserve">Tato voda (upravená bez nebo s energoaktivátorem), se přivádí přes nastavitelný regulátor tlaku, který je seřízen na výstupní tlak </w:t>
      </w:r>
      <w:r>
        <w:rPr>
          <w:noProof/>
          <w:lang w:eastAsia="cs-CZ"/>
        </w:rPr>
        <w:drawing>
          <wp:inline distT="0" distB="0" distL="0" distR="0">
            <wp:extent cx="161290" cy="134620"/>
            <wp:effectExtent l="0" t="0" r="0" b="0"/>
            <wp:docPr id="12" name="Obrázek 41" descr="C:\Users\admin\AppData\Local\Microsoft\Windows\INetCache\Content.Outlook\CM2G4B07\FotkyFoto_modry-vykricnik-varovani-dopravni-znacka_4348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41" descr="C:\Users\admin\AppData\Local\Microsoft\Windows\INetCache\Content.Outlook\CM2G4B07\FotkyFoto_modry-vykricnik-varovani-dopravni-znacka_4348772.jpg"/>
                    <pic:cNvPicPr>
                      <a:picLocks noChangeAspect="1" noChangeArrowheads="1"/>
                    </pic:cNvPicPr>
                  </pic:nvPicPr>
                  <pic:blipFill>
                    <a:blip r:embed="rId28"/>
                    <a:stretch>
                      <a:fillRect/>
                    </a:stretch>
                  </pic:blipFill>
                  <pic:spPr bwMode="auto">
                    <a:xfrm>
                      <a:off x="0" y="0"/>
                      <a:ext cx="161290" cy="134620"/>
                    </a:xfrm>
                    <a:prstGeom prst="rect">
                      <a:avLst/>
                    </a:prstGeom>
                  </pic:spPr>
                </pic:pic>
              </a:graphicData>
            </a:graphic>
          </wp:inline>
        </w:drawing>
      </w:r>
      <w:r>
        <w:t xml:space="preserve"> </w:t>
      </w:r>
      <w:r>
        <w:rPr>
          <w:b/>
        </w:rPr>
        <w:t>2.5</w:t>
      </w:r>
      <w:r>
        <w:t xml:space="preserve"> baru, s definovanou </w:t>
      </w:r>
      <w:proofErr w:type="gramStart"/>
      <w:r>
        <w:t xml:space="preserve">životností  </w:t>
      </w:r>
      <w:r>
        <w:rPr>
          <w:b/>
        </w:rPr>
        <w:t>250 000</w:t>
      </w:r>
      <w:proofErr w:type="gramEnd"/>
      <w:r>
        <w:t xml:space="preserve"> litrů. Voda, s již omezeným tlakem, se přivádí do </w:t>
      </w:r>
      <w:r>
        <w:rPr>
          <w:noProof/>
          <w:lang w:eastAsia="cs-CZ"/>
        </w:rPr>
        <w:drawing>
          <wp:inline distT="0" distB="0" distL="0" distR="0">
            <wp:extent cx="161290" cy="134620"/>
            <wp:effectExtent l="0" t="0" r="0" b="0"/>
            <wp:docPr id="13" name="Obrázek 40" descr="C:\Users\admin\AppData\Local\Microsoft\Windows\INetCache\Content.Outlook\CM2G4B07\FotkyFoto_modry-vykricnik-varovani-dopravni-znacka_4348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40" descr="C:\Users\admin\AppData\Local\Microsoft\Windows\INetCache\Content.Outlook\CM2G4B07\FotkyFoto_modry-vykricnik-varovani-dopravni-znacka_4348772.jpg"/>
                    <pic:cNvPicPr>
                      <a:picLocks noChangeAspect="1" noChangeArrowheads="1"/>
                    </pic:cNvPicPr>
                  </pic:nvPicPr>
                  <pic:blipFill>
                    <a:blip r:embed="rId28"/>
                    <a:stretch>
                      <a:fillRect/>
                    </a:stretch>
                  </pic:blipFill>
                  <pic:spPr bwMode="auto">
                    <a:xfrm>
                      <a:off x="0" y="0"/>
                      <a:ext cx="161290" cy="134620"/>
                    </a:xfrm>
                    <a:prstGeom prst="rect">
                      <a:avLst/>
                    </a:prstGeom>
                  </pic:spPr>
                </pic:pic>
              </a:graphicData>
            </a:graphic>
          </wp:inline>
        </w:drawing>
      </w:r>
      <w:r>
        <w:t xml:space="preserve"> </w:t>
      </w:r>
      <w:r>
        <w:rPr>
          <w:b/>
        </w:rPr>
        <w:t>UV-C LED</w:t>
      </w:r>
      <w:r>
        <w:t xml:space="preserve"> </w:t>
      </w:r>
      <w:proofErr w:type="gramStart"/>
      <w:r>
        <w:t>lampy,  která</w:t>
      </w:r>
      <w:proofErr w:type="gramEnd"/>
      <w:r>
        <w:t xml:space="preserve">   se dostává na </w:t>
      </w:r>
      <w:r>
        <w:rPr>
          <w:b/>
        </w:rPr>
        <w:t>100</w:t>
      </w:r>
      <w:r>
        <w:t>% výkonu řádově v </w:t>
      </w:r>
      <w:r>
        <w:rPr>
          <w:b/>
        </w:rPr>
        <w:t xml:space="preserve">ns </w:t>
      </w:r>
      <w:r>
        <w:t>po</w:t>
      </w:r>
      <w:r>
        <w:rPr>
          <w:b/>
        </w:rPr>
        <w:t xml:space="preserve"> </w:t>
      </w:r>
      <w:r>
        <w:t xml:space="preserve">zapnutí, s definovanou životností </w:t>
      </w:r>
      <w:r>
        <w:rPr>
          <w:b/>
        </w:rPr>
        <w:t>36 000</w:t>
      </w:r>
      <w:r>
        <w:t xml:space="preserve"> litrů, kde se vyrobená a upravená voda sterilizuje (</w:t>
      </w:r>
      <w:r>
        <w:rPr>
          <w:b/>
        </w:rPr>
        <w:t>UV-C LED</w:t>
      </w:r>
      <w:r>
        <w:t xml:space="preserve"> inaktivuje bakterie, prvoky, parazity, viry, řasy, spory, cysty, koky, plísně, kvasinky…) s časovou prodlevou o (</w:t>
      </w:r>
      <w:r>
        <w:rPr>
          <w:b/>
        </w:rPr>
        <w:t>4</w:t>
      </w:r>
      <w:r>
        <w:t xml:space="preserve"> - </w:t>
      </w:r>
      <w:r>
        <w:rPr>
          <w:b/>
        </w:rPr>
        <w:t>6</w:t>
      </w:r>
      <w:r>
        <w:t xml:space="preserve"> Log Reduction), při definovaném průtoku </w:t>
      </w:r>
      <w:r>
        <w:rPr>
          <w:b/>
        </w:rPr>
        <w:t>0.120</w:t>
      </w:r>
      <w:r>
        <w:t xml:space="preserve"> ~ </w:t>
      </w:r>
      <w:r>
        <w:rPr>
          <w:b/>
        </w:rPr>
        <w:t>0.350</w:t>
      </w:r>
      <w:r>
        <w:t xml:space="preserve"> l/min</w:t>
      </w:r>
      <w: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t xml:space="preserve">, (měřící rozsah </w:t>
      </w:r>
      <w:r>
        <w:rPr>
          <w:b/>
        </w:rPr>
        <w:t>FM</w:t>
      </w:r>
      <w:r w:rsidR="00142ED0">
        <w:rPr>
          <w:b/>
        </w:rPr>
        <w:t>2</w:t>
      </w:r>
      <w:r>
        <w:rPr>
          <w:b/>
        </w:rPr>
        <w:t xml:space="preserve"> </w:t>
      </w:r>
      <w:r>
        <w:t>je (0.05 ~ 0.5</w:t>
      </w:r>
      <w:r>
        <w:rPr>
          <w:b/>
        </w:rPr>
        <w:t xml:space="preserve"> </w:t>
      </w:r>
      <w:r>
        <w:t xml:space="preserve">l/min) nebo </w:t>
      </w:r>
      <w:r>
        <w:rPr>
          <w:b/>
        </w:rPr>
        <w:t>FM</w:t>
      </w:r>
      <w:r w:rsidR="00142ED0">
        <w:rPr>
          <w:b/>
        </w:rPr>
        <w:t>1</w:t>
      </w:r>
      <w:r>
        <w:t xml:space="preserve">, s účinností &gt; </w:t>
      </w:r>
      <w:r>
        <w:rPr>
          <w:b/>
        </w:rPr>
        <w:t>99,9</w:t>
      </w:r>
      <w:r>
        <w:t xml:space="preserve">% (při dávce záření </w:t>
      </w:r>
      <w:r w:rsidR="002D2B28">
        <w:t xml:space="preserve">~ </w:t>
      </w:r>
      <w:r>
        <w:rPr>
          <w:b/>
        </w:rPr>
        <w:t>32</w:t>
      </w:r>
      <w:r>
        <w:t xml:space="preserve"> mJ/cm</w:t>
      </w:r>
      <w:r>
        <w:rPr>
          <w:vertAlign w:val="superscript"/>
        </w:rPr>
        <w:t>2</w:t>
      </w:r>
      <w:r>
        <w:t>/sec</w:t>
      </w:r>
      <w:r w:rsidR="002D2B28">
        <w:t>;</w:t>
      </w:r>
      <w:r>
        <w:t xml:space="preserve"> </w:t>
      </w:r>
      <w:r w:rsidR="002D2B28">
        <w:t>~</w:t>
      </w:r>
      <w:r>
        <w:t xml:space="preserve"> </w:t>
      </w:r>
      <w:r>
        <w:rPr>
          <w:rFonts w:cs="DINNextLTPro-Light"/>
          <w:b/>
          <w:i/>
          <w:u w:val="single"/>
        </w:rPr>
        <w:t xml:space="preserve">32 000 </w:t>
      </w:r>
      <w:r>
        <w:rPr>
          <w:rFonts w:cs="DINNextLTPro-Light"/>
          <w:i/>
          <w:u w:val="single"/>
        </w:rPr>
        <w:t>μWsec/cm</w:t>
      </w:r>
      <w:r>
        <w:rPr>
          <w:rFonts w:cs="DINNextLTPro-Light"/>
          <w:i/>
          <w:u w:val="single"/>
          <w:vertAlign w:val="superscript"/>
        </w:rPr>
        <w:t>2</w:t>
      </w:r>
      <w:r>
        <w:t xml:space="preserve"> dle NSF 55A Equivalent). (Viz tematické přílohy) </w:t>
      </w:r>
      <w: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průtok ovlivňuje vstupní teplota (4 ~ 31°C)</w:t>
      </w:r>
      <w:r w:rsidR="00225C93">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měří se  TS0</w:t>
      </w:r>
      <w: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a tlak (1 ~ 10 bar). Teplota na UVC-LED se měří teplotním čidle</w:t>
      </w:r>
      <w:r w:rsidR="00225C93">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m</w:t>
      </w:r>
      <w: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TS</w:t>
      </w:r>
      <w:r w:rsidR="00225C93">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1</w:t>
      </w:r>
    </w:p>
    <w:p w:rsidR="00287B1D" w:rsidRDefault="00BB6CB9">
      <w:pPr>
        <w:ind w:left="-567" w:right="284" w:firstLine="708"/>
        <w:jc w:val="both"/>
      </w:pPr>
      <w:r>
        <w:lastRenderedPageBreak/>
        <w:t xml:space="preserve">Následně sterilizovaná a remineralizovaná voda protéká </w:t>
      </w:r>
      <w:r>
        <w:rPr>
          <w:color w:val="FFFFFF" w:themeColor="background1"/>
          <w:highlight w:val="blue"/>
        </w:rPr>
        <w:t>modrou plastovou hadičkou</w:t>
      </w:r>
      <w:r>
        <w:t xml:space="preserve"> přes </w:t>
      </w:r>
      <w:r>
        <w:rPr>
          <w:b/>
        </w:rPr>
        <w:t>FM</w:t>
      </w:r>
      <w:r w:rsidR="000A3B56">
        <w:rPr>
          <w:b/>
        </w:rPr>
        <w:t>2</w:t>
      </w:r>
      <w:r>
        <w:rPr>
          <w:b/>
        </w:rPr>
        <w:t xml:space="preserve"> </w:t>
      </w:r>
      <w:r>
        <w:t xml:space="preserve">(0.05 ~ 0.5 l/min) nebo </w:t>
      </w:r>
      <w:r>
        <w:rPr>
          <w:b/>
        </w:rPr>
        <w:t>FM</w:t>
      </w:r>
      <w:r w:rsidR="000A3B56">
        <w:rPr>
          <w:b/>
        </w:rPr>
        <w:t>1</w:t>
      </w:r>
      <w:r>
        <w:t xml:space="preserve">, dále přes </w:t>
      </w:r>
      <w:r>
        <w:rPr>
          <w:b/>
        </w:rPr>
        <w:t>¼“</w:t>
      </w:r>
      <w:r>
        <w:t xml:space="preserve"> </w:t>
      </w:r>
      <w:r>
        <w:rPr>
          <w:color w:val="FFFFFF" w:themeColor="background1"/>
          <w:highlight w:val="blue"/>
        </w:rPr>
        <w:t>modrobílý</w:t>
      </w:r>
      <w:r>
        <w:t xml:space="preserve"> servisní ventil a přes </w:t>
      </w:r>
      <w:r>
        <w:rPr>
          <w:b/>
        </w:rPr>
        <w:t>¼“</w:t>
      </w:r>
      <w:r>
        <w:t xml:space="preserve"> plastovou průchodku do odběrného kohoutku.</w:t>
      </w:r>
    </w:p>
    <w:p w:rsidR="00287B1D" w:rsidRDefault="00BB6CB9">
      <w:pPr>
        <w:pStyle w:val="Odstavecseseznamem"/>
        <w:numPr>
          <w:ilvl w:val="0"/>
          <w:numId w:val="20"/>
        </w:numPr>
        <w:tabs>
          <w:tab w:val="clear" w:pos="720"/>
        </w:tabs>
        <w:ind w:left="-567" w:right="284" w:hanging="284"/>
        <w:jc w:val="both"/>
      </w:pPr>
      <w:r>
        <w:t xml:space="preserve">Pokud nastane situace, že se tlaková nádrž zcela vyprázdní, </w:t>
      </w:r>
      <w:r>
        <w:rPr>
          <w:b/>
        </w:rPr>
        <w:t>SV</w:t>
      </w:r>
      <w:r w:rsidR="000A3B56">
        <w:rPr>
          <w:b/>
        </w:rPr>
        <w:t>0</w:t>
      </w:r>
      <w:r>
        <w:rPr>
          <w:b/>
        </w:rPr>
        <w:t>NC</w:t>
      </w:r>
      <w:r>
        <w:t xml:space="preserve"> bude otevřený a nově vyrobená voda bude pomalu, pod nominální hodnotou, protékat systémem přes </w:t>
      </w:r>
      <w:r>
        <w:rPr>
          <w:b/>
        </w:rPr>
        <w:t>FM</w:t>
      </w:r>
      <w:r w:rsidR="000A3B56">
        <w:rPr>
          <w:b/>
        </w:rPr>
        <w:t>2</w:t>
      </w:r>
      <w:r>
        <w:rPr>
          <w:b/>
        </w:rPr>
        <w:t xml:space="preserve"> </w:t>
      </w:r>
      <w:r>
        <w:t xml:space="preserve">(0.05 ~ 0.5 l/min) nebo </w:t>
      </w:r>
      <w:r>
        <w:rPr>
          <w:b/>
        </w:rPr>
        <w:t>FM</w:t>
      </w:r>
      <w:r w:rsidR="000A3B56">
        <w:rPr>
          <w:b/>
        </w:rPr>
        <w:t>1</w:t>
      </w:r>
      <w:r>
        <w:rPr>
          <w:b/>
        </w:rPr>
        <w:t xml:space="preserve"> </w:t>
      </w:r>
      <w:r>
        <w:t xml:space="preserve">až do </w:t>
      </w:r>
      <w:r>
        <w:rPr>
          <w:color w:val="FF0000"/>
        </w:rPr>
        <w:t>otevřeného</w:t>
      </w:r>
      <w:r>
        <w:t xml:space="preserve"> odběrného kohoutku, potom je tato situace ošetřena </w:t>
      </w:r>
      <w:r>
        <w:rPr>
          <w:b/>
          <w:color w:val="FF0000"/>
        </w:rPr>
        <w:t xml:space="preserve">SW. </w:t>
      </w:r>
      <w:r>
        <w:t xml:space="preserve">Typicky tak, aby při velmi malém průtoku vody </w:t>
      </w:r>
      <w:r>
        <w:rPr>
          <w:i/>
          <w:color w:val="6600CC"/>
        </w:rPr>
        <w:t>(přímá výroba vody přes spirální modul)</w:t>
      </w:r>
      <w:r>
        <w:t xml:space="preserve"> přes </w:t>
      </w:r>
      <w:r>
        <w:rPr>
          <w:b/>
        </w:rPr>
        <w:t>FM</w:t>
      </w:r>
      <w:r w:rsidR="000A3B56">
        <w:rPr>
          <w:b/>
        </w:rPr>
        <w:t>2</w:t>
      </w:r>
      <w:r>
        <w:rPr>
          <w:b/>
        </w:rPr>
        <w:t xml:space="preserve"> </w:t>
      </w:r>
      <w:r>
        <w:t xml:space="preserve">(0.05 ~ 0.5 l/min) nebo </w:t>
      </w:r>
      <w:r>
        <w:rPr>
          <w:b/>
        </w:rPr>
        <w:t>FM</w:t>
      </w:r>
      <w:r w:rsidR="000A3B56">
        <w:rPr>
          <w:b/>
        </w:rPr>
        <w:t>1</w:t>
      </w:r>
      <w:r>
        <w:t xml:space="preserve">, typicky </w:t>
      </w:r>
      <w:r w:rsidR="000A3B56">
        <w:rPr>
          <w:b/>
        </w:rPr>
        <w:t>60 %</w:t>
      </w:r>
      <w:r>
        <w:t xml:space="preserve"> nominálního průtoku, došlo po době </w:t>
      </w:r>
      <w:r>
        <w:rPr>
          <w:rFonts w:cstheme="minorHAnsi"/>
        </w:rPr>
        <w:t>≥</w:t>
      </w:r>
      <w:r>
        <w:t xml:space="preserve">, než </w:t>
      </w:r>
      <w:r>
        <w:rPr>
          <w:b/>
        </w:rPr>
        <w:t xml:space="preserve">2 </w:t>
      </w:r>
      <w:r>
        <w:t>minut k vyslání hlášky, „</w:t>
      </w:r>
      <w:r>
        <w:rPr>
          <w:b/>
          <w:color w:val="00B050"/>
        </w:rPr>
        <w:t>odběrový kohout nesystémově otevřen</w:t>
      </w:r>
      <w:r>
        <w:t>“.</w:t>
      </w:r>
    </w:p>
    <w:p w:rsidR="00287B1D" w:rsidRDefault="00BB6CB9">
      <w:pPr>
        <w:ind w:left="-567" w:right="284" w:firstLine="708"/>
        <w:jc w:val="both"/>
        <w:rPr>
          <w:color w:val="00B050"/>
        </w:rPr>
      </w:pPr>
      <w:r>
        <w:t>Pokud nedojde v </w:t>
      </w:r>
      <w:proofErr w:type="gramStart"/>
      <w:r>
        <w:t>ochranné  době</w:t>
      </w:r>
      <w:proofErr w:type="gramEnd"/>
      <w:r>
        <w:t xml:space="preserve"> </w:t>
      </w:r>
      <w:r>
        <w:rPr>
          <w:rFonts w:cstheme="minorHAnsi"/>
        </w:rPr>
        <w:t>≤</w:t>
      </w:r>
      <w:r>
        <w:t xml:space="preserve">, než </w:t>
      </w:r>
      <w:r>
        <w:rPr>
          <w:b/>
        </w:rPr>
        <w:t xml:space="preserve">12 </w:t>
      </w:r>
      <w:r>
        <w:t xml:space="preserve">minut k uzavření odběrového kohoutu a nepřestane být sepnutý </w:t>
      </w:r>
      <w:r>
        <w:rPr>
          <w:b/>
        </w:rPr>
        <w:t>FM</w:t>
      </w:r>
      <w:r w:rsidR="000A3B56">
        <w:rPr>
          <w:b/>
        </w:rPr>
        <w:t>2</w:t>
      </w:r>
      <w:r>
        <w:rPr>
          <w:b/>
        </w:rPr>
        <w:t xml:space="preserve"> </w:t>
      </w:r>
      <w:r>
        <w:t xml:space="preserve">(0.05 ~ 0.5 l/min) nebo </w:t>
      </w:r>
      <w:r>
        <w:rPr>
          <w:b/>
        </w:rPr>
        <w:t>FM</w:t>
      </w:r>
      <w:r w:rsidR="000A3B56">
        <w:rPr>
          <w:b/>
        </w:rPr>
        <w:t>1</w:t>
      </w:r>
      <w:r>
        <w:t>,</w:t>
      </w:r>
      <w:r>
        <w:rPr>
          <w:b/>
        </w:rPr>
        <w:t xml:space="preserve"> </w:t>
      </w:r>
      <w:r>
        <w:t xml:space="preserve">potom prostřednictvím komunikačního modulu dojde k vyslání signálu a k uzavření </w:t>
      </w:r>
      <w:r>
        <w:rPr>
          <w:b/>
        </w:rPr>
        <w:t>SV</w:t>
      </w:r>
      <w:r w:rsidR="000A3B56">
        <w:rPr>
          <w:b/>
        </w:rPr>
        <w:t>0</w:t>
      </w:r>
      <w:r>
        <w:rPr>
          <w:b/>
        </w:rPr>
        <w:t>NC</w:t>
      </w:r>
      <w:r>
        <w:t xml:space="preserve"> do odstranění </w:t>
      </w:r>
      <w:r>
        <w:rPr>
          <w:b/>
          <w:color w:val="FF0000"/>
        </w:rPr>
        <w:t>„závady“</w:t>
      </w:r>
      <w:r>
        <w:t xml:space="preserve">. </w:t>
      </w:r>
      <w:r>
        <w:rPr>
          <w:highlight w:val="yellow"/>
          <w:u w:val="single"/>
        </w:rPr>
        <w:t xml:space="preserve">Závadou se </w:t>
      </w:r>
      <w:proofErr w:type="gramStart"/>
      <w:r>
        <w:rPr>
          <w:highlight w:val="yellow"/>
          <w:u w:val="single"/>
        </w:rPr>
        <w:t>myslí  otevřený</w:t>
      </w:r>
      <w:proofErr w:type="gramEnd"/>
      <w:r>
        <w:rPr>
          <w:highlight w:val="yellow"/>
          <w:u w:val="single"/>
        </w:rPr>
        <w:t xml:space="preserve">  odběrový kohout, po vypuštění tlakové nádrže*</w:t>
      </w:r>
      <w:r>
        <w:rPr>
          <w:highlight w:val="yellow"/>
        </w:rPr>
        <w:t>.</w:t>
      </w:r>
      <w:r>
        <w:t xml:space="preserve">  Restart po </w:t>
      </w:r>
      <w:r>
        <w:rPr>
          <w:u w:val="single"/>
        </w:rPr>
        <w:t>opravě</w:t>
      </w:r>
      <w:r>
        <w:t xml:space="preserve"> se provede vyjmutím a zasunutím adapteru do elektrické sítě.</w:t>
      </w:r>
      <w:r>
        <w:rPr>
          <w:color w:val="00B050"/>
        </w:rPr>
        <w:t xml:space="preserve"> </w:t>
      </w:r>
    </w:p>
    <w:p w:rsidR="00287B1D" w:rsidRDefault="00BB6CB9">
      <w:pPr>
        <w:pStyle w:val="Odstavecseseznamem"/>
        <w:numPr>
          <w:ilvl w:val="0"/>
          <w:numId w:val="11"/>
        </w:numPr>
        <w:tabs>
          <w:tab w:val="clear" w:pos="720"/>
        </w:tabs>
        <w:ind w:left="-567" w:right="284" w:hanging="284"/>
        <w:jc w:val="both"/>
      </w:pPr>
      <w:r>
        <w:rPr>
          <w:b/>
          <w:i/>
          <w:color w:val="0000FF"/>
          <w:u w:val="single"/>
        </w:rPr>
        <w:t>Upozornění:</w:t>
      </w:r>
      <w:r>
        <w:t xml:space="preserve"> Automaticky se ještě v ochranné </w:t>
      </w:r>
      <w:proofErr w:type="gramStart"/>
      <w:r>
        <w:t xml:space="preserve">době  </w:t>
      </w:r>
      <w:r>
        <w:rPr>
          <w:b/>
        </w:rPr>
        <w:t>12</w:t>
      </w:r>
      <w:proofErr w:type="gramEnd"/>
      <w:r>
        <w:t xml:space="preserve"> minut, tj.   </w:t>
      </w:r>
      <w:r>
        <w:rPr>
          <w:b/>
        </w:rPr>
        <w:t>3</w:t>
      </w:r>
      <w:r>
        <w:t xml:space="preserve">x po </w:t>
      </w:r>
      <w:r>
        <w:rPr>
          <w:b/>
        </w:rPr>
        <w:t xml:space="preserve">2 </w:t>
      </w:r>
      <w:r>
        <w:t xml:space="preserve">minutách s prodlevou </w:t>
      </w:r>
      <w:r>
        <w:rPr>
          <w:b/>
        </w:rPr>
        <w:t>2</w:t>
      </w:r>
      <w:r>
        <w:t xml:space="preserve"> minut  </w:t>
      </w:r>
      <w:r>
        <w:rPr>
          <w:b/>
        </w:rPr>
        <w:t>SV</w:t>
      </w:r>
      <w:r w:rsidR="000A3B56">
        <w:rPr>
          <w:b/>
        </w:rPr>
        <w:t>0</w:t>
      </w:r>
      <w:r>
        <w:rPr>
          <w:b/>
        </w:rPr>
        <w:t>NC</w:t>
      </w:r>
      <w:r>
        <w:t xml:space="preserve">  otevře a zavře (celkem </w:t>
      </w:r>
      <w:r>
        <w:rPr>
          <w:b/>
        </w:rPr>
        <w:t>12</w:t>
      </w:r>
      <w:r>
        <w:t xml:space="preserve"> minut). Pokud se v této části </w:t>
      </w:r>
      <w:r>
        <w:rPr>
          <w:b/>
        </w:rPr>
        <w:t xml:space="preserve">3 </w:t>
      </w:r>
      <w:r>
        <w:t>pokusů v „</w:t>
      </w:r>
      <w:r>
        <w:rPr>
          <w:b/>
          <w:color w:val="FF0000"/>
        </w:rPr>
        <w:t>ochranné době</w:t>
      </w:r>
      <w:r>
        <w:t xml:space="preserve">“ </w:t>
      </w:r>
      <w:r>
        <w:rPr>
          <w:b/>
        </w:rPr>
        <w:t>FM</w:t>
      </w:r>
      <w:r w:rsidR="000A3B56">
        <w:rPr>
          <w:b/>
        </w:rPr>
        <w:t>1</w:t>
      </w:r>
      <w:r>
        <w:rPr>
          <w:b/>
        </w:rPr>
        <w:t xml:space="preserve"> </w:t>
      </w:r>
      <w:r>
        <w:t xml:space="preserve">(0.05 ~ 0.5 l/min) nebo </w:t>
      </w:r>
      <w:r>
        <w:rPr>
          <w:b/>
        </w:rPr>
        <w:t>FM</w:t>
      </w:r>
      <w:r w:rsidR="000A3B56">
        <w:rPr>
          <w:b/>
        </w:rPr>
        <w:t>1</w:t>
      </w:r>
      <w:r>
        <w:t xml:space="preserve"> nerozepne, </w:t>
      </w:r>
      <w:r>
        <w:rPr>
          <w:b/>
        </w:rPr>
        <w:t>SV</w:t>
      </w:r>
      <w:r w:rsidR="000A3B56">
        <w:rPr>
          <w:b/>
        </w:rPr>
        <w:t>0</w:t>
      </w:r>
      <w:r>
        <w:rPr>
          <w:b/>
        </w:rPr>
        <w:t xml:space="preserve">NC </w:t>
      </w:r>
      <w:r>
        <w:t xml:space="preserve"> zůstane otevřen a systém začne vyrábět vodu do tlakové nádrže.  Pokud ovšem bude stále přes  </w:t>
      </w:r>
      <w:r>
        <w:rPr>
          <w:b/>
        </w:rPr>
        <w:t>FM</w:t>
      </w:r>
      <w:r w:rsidR="000A3B56">
        <w:rPr>
          <w:b/>
        </w:rPr>
        <w:t>2</w:t>
      </w:r>
      <w:r>
        <w:rPr>
          <w:b/>
        </w:rPr>
        <w:t xml:space="preserve"> </w:t>
      </w:r>
      <w:r>
        <w:t xml:space="preserve">(0.05 ~ 0.5 l/min) nebo </w:t>
      </w:r>
      <w:r>
        <w:rPr>
          <w:b/>
        </w:rPr>
        <w:t>FM</w:t>
      </w:r>
      <w:r w:rsidR="000A3B56">
        <w:rPr>
          <w:b/>
        </w:rPr>
        <w:t>1</w:t>
      </w:r>
      <w:r>
        <w:rPr>
          <w:b/>
        </w:rPr>
        <w:t xml:space="preserve"> </w:t>
      </w:r>
      <w:r>
        <w:t xml:space="preserve">při otevřeném </w:t>
      </w:r>
      <w:r>
        <w:rPr>
          <w:b/>
        </w:rPr>
        <w:t>SV</w:t>
      </w:r>
      <w:r w:rsidR="00A92C1D">
        <w:rPr>
          <w:b/>
        </w:rPr>
        <w:t>0</w:t>
      </w:r>
      <w:r>
        <w:rPr>
          <w:b/>
        </w:rPr>
        <w:t>NC</w:t>
      </w:r>
      <w:r>
        <w:t xml:space="preserve"> protékat </w:t>
      </w:r>
      <w:r w:rsidR="00A92C1D">
        <w:rPr>
          <w:b/>
        </w:rPr>
        <w:t>60%</w:t>
      </w:r>
      <w:r>
        <w:t xml:space="preserve"> nominálního průtoku, potom se systém vypne pomocí impulzu do </w:t>
      </w:r>
      <w:r>
        <w:rPr>
          <w:b/>
        </w:rPr>
        <w:t>SV</w:t>
      </w:r>
      <w:r w:rsidR="00A92C1D">
        <w:rPr>
          <w:b/>
        </w:rPr>
        <w:t>0</w:t>
      </w:r>
      <w:r>
        <w:rPr>
          <w:b/>
        </w:rPr>
        <w:t>NC</w:t>
      </w:r>
      <w:r>
        <w:t>, aby šetřil vodu po dobu „</w:t>
      </w:r>
      <w:r>
        <w:rPr>
          <w:b/>
          <w:color w:val="FF0000"/>
        </w:rPr>
        <w:t>opravy</w:t>
      </w:r>
      <w:r>
        <w:t>“* a vyšle hlášku „</w:t>
      </w:r>
      <w:r>
        <w:rPr>
          <w:b/>
          <w:color w:val="00B050"/>
        </w:rPr>
        <w:t xml:space="preserve">zkontroluj </w:t>
      </w:r>
      <w:proofErr w:type="gramStart"/>
      <w:r>
        <w:rPr>
          <w:b/>
          <w:color w:val="00B050"/>
        </w:rPr>
        <w:t>uzavření  odběrového</w:t>
      </w:r>
      <w:proofErr w:type="gramEnd"/>
      <w:r>
        <w:rPr>
          <w:b/>
          <w:color w:val="00B050"/>
        </w:rPr>
        <w:t xml:space="preserve"> kohoutku nebo nutný servisní zásah</w:t>
      </w:r>
      <w:r>
        <w:t xml:space="preserve">“. </w:t>
      </w:r>
    </w:p>
    <w:p w:rsidR="00287B1D" w:rsidRDefault="00BB6CB9">
      <w:pPr>
        <w:ind w:left="-567" w:right="284" w:firstLine="708"/>
        <w:jc w:val="both"/>
        <w:rPr>
          <w:color w:val="00B050"/>
        </w:rPr>
      </w:pPr>
      <w:r>
        <w:t>Po „</w:t>
      </w:r>
      <w:r>
        <w:rPr>
          <w:b/>
          <w:color w:val="FF0000"/>
        </w:rPr>
        <w:t>opravě</w:t>
      </w:r>
      <w:r>
        <w:t xml:space="preserve">“* se v  tomto případě musí systém </w:t>
      </w:r>
      <w:r>
        <w:rPr>
          <w:b/>
        </w:rPr>
        <w:t>AQ3</w:t>
      </w:r>
      <w:r>
        <w:t xml:space="preserve"> mini restartovat tak, že se restart po </w:t>
      </w:r>
      <w:proofErr w:type="gramStart"/>
      <w:r>
        <w:rPr>
          <w:u w:val="single"/>
        </w:rPr>
        <w:t>opravě</w:t>
      </w:r>
      <w:r>
        <w:t xml:space="preserve">  provede</w:t>
      </w:r>
      <w:proofErr w:type="gramEnd"/>
      <w:r>
        <w:t xml:space="preserve"> vyjmutím a zasunutím adapteru do elektrické sítě.</w:t>
      </w:r>
      <w:r>
        <w:rPr>
          <w:color w:val="00B050"/>
        </w:rPr>
        <w:t xml:space="preserve"> </w:t>
      </w:r>
    </w:p>
    <w:p w:rsidR="00287B1D" w:rsidRDefault="00BB6CB9">
      <w:pPr>
        <w:tabs>
          <w:tab w:val="left" w:pos="9639"/>
        </w:tabs>
        <w:ind w:left="-567" w:right="284" w:firstLine="708"/>
        <w:jc w:val="both"/>
      </w:pPr>
      <w:r>
        <w:t xml:space="preserve">Po připojení napájecího napětí se spustí program v komunikačním modulu od začátku, tedy automaticky otevře </w:t>
      </w:r>
      <w:r>
        <w:rPr>
          <w:b/>
        </w:rPr>
        <w:t>SV</w:t>
      </w:r>
      <w:r w:rsidR="00A92C1D">
        <w:rPr>
          <w:b/>
        </w:rPr>
        <w:t>0</w:t>
      </w:r>
      <w:r>
        <w:rPr>
          <w:b/>
        </w:rPr>
        <w:t>NC</w:t>
      </w:r>
      <w:r>
        <w:t xml:space="preserve"> a systém začne vyrábět vodu do tlakové nádrže. </w:t>
      </w:r>
      <w:r w:rsidR="0028265B">
        <w:t xml:space="preserve"> Na </w:t>
      </w:r>
      <w:r w:rsidR="0028265B" w:rsidRPr="0028265B">
        <w:rPr>
          <w:b/>
        </w:rPr>
        <w:t>SV</w:t>
      </w:r>
      <w:r w:rsidR="00A92C1D">
        <w:rPr>
          <w:b/>
        </w:rPr>
        <w:t>0</w:t>
      </w:r>
      <w:r w:rsidR="0028265B" w:rsidRPr="0028265B">
        <w:rPr>
          <w:b/>
        </w:rPr>
        <w:t>NC</w:t>
      </w:r>
      <w:r w:rsidR="0028265B">
        <w:t xml:space="preserve"> se automaticky následně snižuje provozní proud cívkou na 60 %.</w:t>
      </w:r>
    </w:p>
    <w:p w:rsidR="00287B1D" w:rsidRDefault="00BB6CB9">
      <w:pPr>
        <w:tabs>
          <w:tab w:val="left" w:pos="9639"/>
        </w:tabs>
        <w:ind w:left="-567" w:right="284" w:firstLine="708"/>
        <w:jc w:val="both"/>
      </w:pPr>
      <w:r>
        <w:t xml:space="preserve">Komunikační modul má integrovaný záložní zdroj, který kontroluje, aby při restartu </w:t>
      </w:r>
      <w:r>
        <w:rPr>
          <w:b/>
        </w:rPr>
        <w:t>RDM_2b</w:t>
      </w:r>
      <w:r>
        <w:t xml:space="preserve"> ostatní časy a nastavené funkce nedoznali </w:t>
      </w:r>
      <w:r>
        <w:rPr>
          <w:b/>
          <w:color w:val="FF0000"/>
        </w:rPr>
        <w:t>SW</w:t>
      </w:r>
      <w:r>
        <w:t xml:space="preserve"> změn. Při nové montáži či jakémkoli mechanickém rozpojení filtračního okruhu je bezpodmínečně nutné, provést desinfekci technologie, pomocí desinfekčního roztoku ****</w:t>
      </w:r>
    </w:p>
    <w:p w:rsidR="00287B1D" w:rsidRDefault="00BB6CB9">
      <w:pPr>
        <w:pStyle w:val="Odstavecseseznamem"/>
        <w:numPr>
          <w:ilvl w:val="0"/>
          <w:numId w:val="10"/>
        </w:numPr>
        <w:tabs>
          <w:tab w:val="clear" w:pos="720"/>
          <w:tab w:val="left" w:pos="9639"/>
        </w:tabs>
        <w:ind w:left="-567" w:right="284" w:hanging="284"/>
        <w:jc w:val="both"/>
        <w:rPr>
          <w:color w:val="FF0000"/>
          <w:u w:val="single"/>
        </w:rPr>
      </w:pPr>
      <w:r>
        <w:rPr>
          <w:u w:val="single"/>
        </w:rPr>
        <w:t>Poznámka</w:t>
      </w:r>
      <w:r>
        <w:t xml:space="preserve">: V případě, že filtrační technologie (kromě AQ3 Mini Basic) dostane ruční nebo automatický </w:t>
      </w:r>
      <w:r>
        <w:rPr>
          <w:i/>
          <w:u w:val="single"/>
        </w:rPr>
        <w:t>příkaz k zablokování funkce</w:t>
      </w:r>
      <w:r>
        <w:t xml:space="preserve">, zavře se </w:t>
      </w:r>
      <w:r>
        <w:rPr>
          <w:b/>
        </w:rPr>
        <w:t>SV</w:t>
      </w:r>
      <w:r w:rsidR="00A92C1D">
        <w:rPr>
          <w:b/>
        </w:rPr>
        <w:t>0</w:t>
      </w:r>
      <w:r>
        <w:rPr>
          <w:b/>
        </w:rPr>
        <w:t>NC</w:t>
      </w:r>
      <w:r>
        <w:t xml:space="preserve"> a otevře se </w:t>
      </w:r>
      <w:r>
        <w:rPr>
          <w:b/>
        </w:rPr>
        <w:t>SV</w:t>
      </w:r>
      <w:r w:rsidR="00A92C1D">
        <w:rPr>
          <w:b/>
        </w:rPr>
        <w:t>1</w:t>
      </w:r>
      <w:r>
        <w:rPr>
          <w:b/>
        </w:rPr>
        <w:t>NC</w:t>
      </w:r>
      <w:r>
        <w:t xml:space="preserve">. Dojde tak k celkovému vypuštění technologie </w:t>
      </w:r>
      <w:r>
        <w:rPr>
          <w:b/>
        </w:rPr>
        <w:t>AQ3</w:t>
      </w:r>
      <w:r>
        <w:t xml:space="preserve"> Mini, </w:t>
      </w:r>
      <w:r>
        <w:rPr>
          <w:u w:val="single"/>
        </w:rPr>
        <w:t>včetně tlakové nádrže</w:t>
      </w:r>
      <w:r>
        <w:t xml:space="preserve">. </w:t>
      </w:r>
    </w:p>
    <w:p w:rsidR="00287B1D" w:rsidRDefault="00287B1D">
      <w:pPr>
        <w:pStyle w:val="Odstavecseseznamem"/>
        <w:tabs>
          <w:tab w:val="left" w:pos="9639"/>
        </w:tabs>
        <w:ind w:left="-567" w:right="284"/>
        <w:jc w:val="both"/>
        <w:rPr>
          <w:color w:val="FF0000"/>
          <w:u w:val="single"/>
        </w:rPr>
      </w:pPr>
    </w:p>
    <w:p w:rsidR="00287B1D" w:rsidRDefault="00BB6CB9">
      <w:pPr>
        <w:pStyle w:val="Odstavecseseznamem"/>
        <w:numPr>
          <w:ilvl w:val="0"/>
          <w:numId w:val="10"/>
        </w:numPr>
        <w:tabs>
          <w:tab w:val="clear" w:pos="720"/>
          <w:tab w:val="left" w:pos="9639"/>
        </w:tabs>
        <w:ind w:left="-567" w:right="284" w:hanging="284"/>
        <w:jc w:val="both"/>
        <w:rPr>
          <w:color w:val="FF0000"/>
          <w:u w:val="single"/>
        </w:rPr>
      </w:pPr>
      <w:r>
        <w:t xml:space="preserve">Pokud nastane situace, že klient </w:t>
      </w:r>
      <w:r w:rsidR="000472BC">
        <w:t xml:space="preserve">neautorizovaně </w:t>
      </w:r>
      <w:r>
        <w:t xml:space="preserve">odpojí technologii od zdroje elektrické energie, systém zůstane zablokovaný a to i v případě opětovného připojení technologie na zdroj elektrické energie. Tato manipulace se zaznamenává do </w:t>
      </w:r>
      <w:r>
        <w:rPr>
          <w:b/>
        </w:rPr>
        <w:t>LOG</w:t>
      </w:r>
      <w:r>
        <w:t xml:space="preserve">u. Deblokace je </w:t>
      </w:r>
      <w:r>
        <w:lastRenderedPageBreak/>
        <w:t xml:space="preserve">možná až po </w:t>
      </w:r>
      <w:r w:rsidR="000472BC">
        <w:t xml:space="preserve">zjištění a </w:t>
      </w:r>
      <w:r>
        <w:t xml:space="preserve">odstranění příčiny zablokování a to </w:t>
      </w:r>
      <w:r>
        <w:rPr>
          <w:color w:val="FF0000"/>
          <w:u w:val="single"/>
        </w:rPr>
        <w:t xml:space="preserve">pouze servisním technikem </w:t>
      </w:r>
      <w:proofErr w:type="gramStart"/>
      <w:r>
        <w:rPr>
          <w:color w:val="FF0000"/>
          <w:u w:val="single"/>
        </w:rPr>
        <w:t>nebo  přes</w:t>
      </w:r>
      <w:proofErr w:type="gramEnd"/>
      <w:r>
        <w:rPr>
          <w:color w:val="FF0000"/>
          <w:u w:val="single"/>
        </w:rPr>
        <w:t xml:space="preserve"> centrální dohled.</w:t>
      </w:r>
    </w:p>
    <w:p w:rsidR="00BB7A9C" w:rsidRDefault="00BB7A9C">
      <w:pPr>
        <w:ind w:left="-567" w:right="284"/>
        <w:jc w:val="center"/>
        <w:rPr>
          <w:b/>
          <w:i/>
          <w:color w:val="FF0000"/>
          <w:u w:val="single"/>
        </w:rPr>
      </w:pPr>
    </w:p>
    <w:p w:rsidR="00287B1D" w:rsidRDefault="00BB6CB9">
      <w:pPr>
        <w:ind w:left="-567" w:right="284"/>
        <w:jc w:val="center"/>
        <w:rPr>
          <w:b/>
          <w:i/>
          <w:color w:val="FF0000"/>
          <w:u w:val="single"/>
        </w:rPr>
      </w:pPr>
      <w:r>
        <w:rPr>
          <w:b/>
          <w:i/>
          <w:color w:val="FF0000"/>
          <w:u w:val="single"/>
        </w:rPr>
        <w:t>ad 9) Popis funkce elektrických komponent</w:t>
      </w:r>
    </w:p>
    <w:p w:rsidR="00287B1D" w:rsidRDefault="00287B1D">
      <w:pPr>
        <w:pStyle w:val="Odstavecseseznamem"/>
        <w:spacing w:after="0"/>
        <w:ind w:left="-567" w:right="284"/>
        <w:jc w:val="both"/>
        <w:rPr>
          <w:b/>
          <w:i/>
          <w:color w:val="0000FF"/>
          <w:u w:val="single"/>
        </w:rPr>
      </w:pPr>
    </w:p>
    <w:p w:rsidR="00287B1D" w:rsidRDefault="00BB6CB9" w:rsidP="005470D9">
      <w:pPr>
        <w:ind w:left="-567" w:right="284"/>
        <w:jc w:val="center"/>
      </w:pPr>
      <w:r>
        <w:rPr>
          <w:b/>
          <w:u w:val="single"/>
        </w:rPr>
        <w:t>PA 1</w:t>
      </w:r>
      <w:r>
        <w:rPr>
          <w:b/>
        </w:rPr>
        <w:t xml:space="preserve"> - </w:t>
      </w:r>
      <w:r>
        <w:t xml:space="preserve">Power  Adapter 1, 108 – 245 </w:t>
      </w:r>
      <w:r w:rsidRPr="005470D9">
        <w:rPr>
          <w:b/>
          <w:u w:val="single"/>
        </w:rPr>
        <w:t>VAC</w:t>
      </w:r>
      <w:r>
        <w:t xml:space="preserve"> (48 – 62 Hz)/</w:t>
      </w:r>
      <w:r>
        <w:rPr>
          <w:b/>
        </w:rPr>
        <w:t>24</w:t>
      </w:r>
      <w:r>
        <w:t xml:space="preserve"> VDC – </w:t>
      </w:r>
      <w:r>
        <w:rPr>
          <w:b/>
        </w:rPr>
        <w:t>1</w:t>
      </w:r>
      <w:r>
        <w:t xml:space="preserve"> A, slouží pro napájení veškerých modelů filtrační technologie AQ3 Mini</w:t>
      </w:r>
    </w:p>
    <w:p w:rsidR="00287B1D" w:rsidRDefault="00287B1D">
      <w:pPr>
        <w:spacing w:after="0"/>
        <w:ind w:left="-567" w:right="284"/>
      </w:pPr>
    </w:p>
    <w:tbl>
      <w:tblPr>
        <w:tblW w:w="3266" w:type="dxa"/>
        <w:tblInd w:w="30" w:type="dxa"/>
        <w:tblCellMar>
          <w:top w:w="30" w:type="dxa"/>
          <w:left w:w="30" w:type="dxa"/>
          <w:bottom w:w="30" w:type="dxa"/>
          <w:right w:w="30" w:type="dxa"/>
        </w:tblCellMar>
        <w:tblLook w:val="04A0" w:firstRow="1" w:lastRow="0" w:firstColumn="1" w:lastColumn="0" w:noHBand="0" w:noVBand="1"/>
      </w:tblPr>
      <w:tblGrid>
        <w:gridCol w:w="666"/>
        <w:gridCol w:w="2600"/>
      </w:tblGrid>
      <w:tr w:rsidR="00287B1D">
        <w:tc>
          <w:tcPr>
            <w:tcW w:w="666" w:type="dxa"/>
            <w:shd w:val="clear" w:color="auto" w:fill="FFFFFF"/>
          </w:tcPr>
          <w:p w:rsidR="00287B1D" w:rsidRDefault="00287B1D">
            <w:pPr>
              <w:ind w:left="-567" w:right="284"/>
            </w:pPr>
          </w:p>
        </w:tc>
        <w:tc>
          <w:tcPr>
            <w:tcW w:w="2599" w:type="dxa"/>
            <w:shd w:val="clear" w:color="auto" w:fill="FFFFFF"/>
          </w:tcPr>
          <w:p w:rsidR="00287B1D" w:rsidRDefault="00287B1D">
            <w:pPr>
              <w:ind w:left="-567" w:right="284"/>
            </w:pPr>
          </w:p>
        </w:tc>
      </w:tr>
    </w:tbl>
    <w:p w:rsidR="00287B1D" w:rsidRDefault="00BB6CB9">
      <w:pPr>
        <w:spacing w:after="0"/>
        <w:ind w:left="-567" w:right="284"/>
      </w:pPr>
      <w:r>
        <w:rPr>
          <w:b/>
          <w:u w:val="single"/>
        </w:rPr>
        <w:t>SV</w:t>
      </w:r>
      <w:r w:rsidR="00A92C1D">
        <w:rPr>
          <w:b/>
          <w:u w:val="single"/>
        </w:rPr>
        <w:t>0</w:t>
      </w:r>
      <w:r>
        <w:rPr>
          <w:b/>
          <w:u w:val="single"/>
        </w:rPr>
        <w:t>NC</w:t>
      </w:r>
      <w:r>
        <w:t xml:space="preserve"> - ventil je normálně zavřený. V případě, že je prázdná tlaková nádržka a   </w:t>
      </w:r>
    </w:p>
    <w:p w:rsidR="00287B1D" w:rsidRDefault="00BB6CB9">
      <w:pPr>
        <w:spacing w:after="0"/>
        <w:ind w:left="-567" w:right="284"/>
      </w:pPr>
      <w:r>
        <w:t xml:space="preserve">v systémovém okruhu chybí tlak, elektronika otevře </w:t>
      </w:r>
      <w:r>
        <w:rPr>
          <w:b/>
        </w:rPr>
        <w:t>SV</w:t>
      </w:r>
      <w:r w:rsidR="00A92C1D">
        <w:rPr>
          <w:b/>
        </w:rPr>
        <w:t>0</w:t>
      </w:r>
      <w:r>
        <w:rPr>
          <w:b/>
        </w:rPr>
        <w:t xml:space="preserve"> </w:t>
      </w:r>
      <w:r>
        <w:t xml:space="preserve">a začne natékat voda do systému </w:t>
      </w:r>
    </w:p>
    <w:p w:rsidR="00287B1D" w:rsidRDefault="00BB6CB9">
      <w:pPr>
        <w:spacing w:after="0"/>
        <w:ind w:left="-567" w:right="284"/>
        <w:rPr>
          <w:color w:val="00B050"/>
        </w:rPr>
      </w:pPr>
      <w:r>
        <w:rPr>
          <w:color w:val="00B050"/>
        </w:rPr>
        <w:t>Po zapnutí a otevření, se procházející proud sníží ~ na udržovací</w:t>
      </w:r>
      <w:r w:rsidR="002731D5">
        <w:rPr>
          <w:color w:val="00B050"/>
        </w:rPr>
        <w:t>ch</w:t>
      </w:r>
      <w:r>
        <w:rPr>
          <w:color w:val="00B050"/>
        </w:rPr>
        <w:t xml:space="preserve"> </w:t>
      </w:r>
      <w:r w:rsidR="00BC063E">
        <w:rPr>
          <w:color w:val="00B050"/>
        </w:rPr>
        <w:t>60%</w:t>
      </w:r>
      <w:r>
        <w:rPr>
          <w:color w:val="00B050"/>
        </w:rPr>
        <w:t xml:space="preserve"> nominálního proudu</w:t>
      </w:r>
    </w:p>
    <w:p w:rsidR="00287B1D" w:rsidRDefault="00BB6CB9">
      <w:pPr>
        <w:spacing w:after="0"/>
        <w:ind w:left="-567" w:right="284"/>
      </w:pPr>
      <w:r>
        <w:rPr>
          <w:b/>
          <w:color w:val="00B050"/>
        </w:rPr>
        <w:t xml:space="preserve"> </w:t>
      </w:r>
    </w:p>
    <w:p w:rsidR="00287B1D" w:rsidRDefault="00BB6CB9">
      <w:pPr>
        <w:spacing w:after="0"/>
        <w:ind w:left="-567" w:right="284"/>
      </w:pPr>
      <w:r>
        <w:rPr>
          <w:b/>
          <w:u w:val="single"/>
        </w:rPr>
        <w:t>FM</w:t>
      </w:r>
      <w:r w:rsidR="00A92C1D">
        <w:rPr>
          <w:b/>
          <w:u w:val="single"/>
        </w:rPr>
        <w:t>0</w:t>
      </w:r>
      <w:r>
        <w:rPr>
          <w:u w:val="single"/>
        </w:rPr>
        <w:t xml:space="preserve"> </w:t>
      </w:r>
      <w:r>
        <w:t>– měří vstupní  nátok vody za předfiltrací</w:t>
      </w:r>
    </w:p>
    <w:p w:rsidR="00287B1D" w:rsidRDefault="00BB6CB9">
      <w:pPr>
        <w:spacing w:after="0"/>
        <w:ind w:left="-567" w:right="284"/>
      </w:pPr>
      <w:r>
        <w:rPr>
          <w:b/>
          <w:u w:val="single"/>
        </w:rPr>
        <w:t>FM</w:t>
      </w:r>
      <w:r w:rsidR="00A92C1D">
        <w:rPr>
          <w:b/>
          <w:u w:val="single"/>
        </w:rPr>
        <w:t>1</w:t>
      </w:r>
      <w:r>
        <w:rPr>
          <w:b/>
          <w:u w:val="single"/>
        </w:rPr>
        <w:t xml:space="preserve"> </w:t>
      </w:r>
      <w:r>
        <w:t>– měří permeát ze spirálního modulu</w:t>
      </w:r>
    </w:p>
    <w:p w:rsidR="00287B1D" w:rsidRDefault="00BB6CB9">
      <w:pPr>
        <w:spacing w:after="0"/>
        <w:ind w:left="-567" w:right="284"/>
      </w:pPr>
      <w:r>
        <w:rPr>
          <w:b/>
          <w:u w:val="single"/>
        </w:rPr>
        <w:t>FM</w:t>
      </w:r>
      <w:r w:rsidR="00A92C1D">
        <w:rPr>
          <w:b/>
          <w:u w:val="single"/>
        </w:rPr>
        <w:t>2</w:t>
      </w:r>
      <w:r>
        <w:rPr>
          <w:b/>
          <w:u w:val="single"/>
        </w:rPr>
        <w:t xml:space="preserve"> </w:t>
      </w:r>
      <w:r>
        <w:t xml:space="preserve">– měří </w:t>
      </w:r>
      <w:proofErr w:type="gramStart"/>
      <w:r>
        <w:t>výstupní  objem</w:t>
      </w:r>
      <w:proofErr w:type="gramEnd"/>
      <w:r>
        <w:t xml:space="preserve"> vody do odběrového kohoutku</w:t>
      </w:r>
    </w:p>
    <w:p w:rsidR="00287B1D" w:rsidRDefault="00BB6CB9">
      <w:pPr>
        <w:spacing w:after="0"/>
        <w:ind w:left="-567" w:right="284"/>
      </w:pPr>
      <w:r>
        <w:rPr>
          <w:b/>
          <w:u w:val="single"/>
        </w:rPr>
        <w:t>TS</w:t>
      </w:r>
      <w:r w:rsidR="00A92C1D">
        <w:rPr>
          <w:b/>
          <w:u w:val="single"/>
        </w:rPr>
        <w:t>0</w:t>
      </w:r>
      <w:r>
        <w:rPr>
          <w:b/>
          <w:u w:val="single"/>
        </w:rPr>
        <w:t xml:space="preserve"> </w:t>
      </w:r>
      <w:r>
        <w:t>– měří teplotu vstupní vody do zařízení</w:t>
      </w:r>
    </w:p>
    <w:p w:rsidR="00287B1D" w:rsidRDefault="00BB6CB9">
      <w:pPr>
        <w:spacing w:after="0"/>
        <w:ind w:left="-567" w:right="284"/>
      </w:pPr>
      <w:r>
        <w:rPr>
          <w:b/>
          <w:u w:val="single"/>
        </w:rPr>
        <w:t>TS</w:t>
      </w:r>
      <w:r w:rsidR="00A92C1D">
        <w:rPr>
          <w:b/>
          <w:u w:val="single"/>
        </w:rPr>
        <w:t>1</w:t>
      </w:r>
      <w:r>
        <w:rPr>
          <w:b/>
          <w:u w:val="single"/>
        </w:rPr>
        <w:t xml:space="preserve"> </w:t>
      </w:r>
      <w:r>
        <w:t xml:space="preserve">– měří teplotu UV-C LED lampy, </w:t>
      </w:r>
      <w:proofErr w:type="gramStart"/>
      <w:r>
        <w:t>nebo  teplotu</w:t>
      </w:r>
      <w:proofErr w:type="gramEnd"/>
      <w:r>
        <w:t xml:space="preserve"> okolí filtrační stanice</w:t>
      </w:r>
    </w:p>
    <w:p w:rsidR="00287B1D" w:rsidRDefault="00BB6CB9">
      <w:pPr>
        <w:spacing w:after="0"/>
        <w:ind w:left="-567" w:right="284"/>
        <w:rPr>
          <w:rFonts w:eastAsia="Times New Roman" w:cs="Times New Roman"/>
          <w:lang w:eastAsia="cs-CZ"/>
        </w:rPr>
      </w:pPr>
      <w:r>
        <w:rPr>
          <w:b/>
          <w:u w:val="single"/>
        </w:rPr>
        <w:t>PS</w:t>
      </w:r>
      <w:r w:rsidR="00A92C1D">
        <w:rPr>
          <w:b/>
          <w:u w:val="single"/>
        </w:rPr>
        <w:t>0</w:t>
      </w:r>
      <w:r>
        <w:t xml:space="preserve"> –  měří tlak v sekundárním okruhu spirálního modulu a současně </w:t>
      </w:r>
      <w:proofErr w:type="gramStart"/>
      <w:r>
        <w:t>slouží  jako</w:t>
      </w:r>
      <w:proofErr w:type="gramEnd"/>
      <w:r>
        <w:t xml:space="preserve"> detektor pulzů, který slouží ke zjištění  délky pulzu, v různých časových sekvencích, pro optimální nastavení </w:t>
      </w:r>
      <w:r>
        <w:rPr>
          <w:rFonts w:eastAsia="Times New Roman" w:cs="Times New Roman"/>
          <w:lang w:eastAsia="cs-CZ"/>
        </w:rPr>
        <w:t>poměru permeátu a retenátu</w:t>
      </w:r>
    </w:p>
    <w:p w:rsidR="00287B1D" w:rsidRDefault="00BB6CB9">
      <w:pPr>
        <w:spacing w:after="0"/>
        <w:ind w:left="-567" w:right="284"/>
      </w:pPr>
      <w:r>
        <w:rPr>
          <w:b/>
          <w:u w:val="single"/>
        </w:rPr>
        <w:t>PS</w:t>
      </w:r>
      <w:r w:rsidR="00A92C1D">
        <w:rPr>
          <w:b/>
          <w:u w:val="single"/>
        </w:rPr>
        <w:t>1</w:t>
      </w:r>
      <w:r>
        <w:rPr>
          <w:b/>
          <w:u w:val="single"/>
        </w:rPr>
        <w:t xml:space="preserve"> </w:t>
      </w:r>
      <w:r>
        <w:t xml:space="preserve">– měří tlak v zásobní nádrži, koeficient podle </w:t>
      </w:r>
      <w:proofErr w:type="gramStart"/>
      <w:r>
        <w:t>dodané  velikosti</w:t>
      </w:r>
      <w:proofErr w:type="gramEnd"/>
      <w:r>
        <w:t xml:space="preserve"> nádrže</w:t>
      </w:r>
    </w:p>
    <w:p w:rsidR="00287B1D" w:rsidRDefault="00BB6CB9">
      <w:pPr>
        <w:spacing w:after="0"/>
        <w:ind w:left="-567" w:right="284"/>
        <w:jc w:val="both"/>
      </w:pPr>
      <w:r>
        <w:rPr>
          <w:b/>
          <w:u w:val="single"/>
        </w:rPr>
        <w:t>SV</w:t>
      </w:r>
      <w:r w:rsidR="009C104D">
        <w:rPr>
          <w:b/>
          <w:u w:val="single"/>
        </w:rPr>
        <w:t>0</w:t>
      </w:r>
      <w:r>
        <w:rPr>
          <w:b/>
          <w:u w:val="single"/>
        </w:rPr>
        <w:t>NC</w:t>
      </w:r>
      <w:r>
        <w:rPr>
          <w:b/>
        </w:rPr>
        <w:t xml:space="preserve"> –</w:t>
      </w:r>
      <w:r>
        <w:t xml:space="preserve"> ventil je normálně zavřený, otevírá se pouze v případě, že </w:t>
      </w:r>
      <w:r>
        <w:rPr>
          <w:b/>
        </w:rPr>
        <w:t>FM</w:t>
      </w:r>
      <w:r w:rsidR="009C104D">
        <w:rPr>
          <w:b/>
        </w:rPr>
        <w:t>2</w:t>
      </w:r>
      <w:r>
        <w:rPr>
          <w:b/>
        </w:rPr>
        <w:t xml:space="preserve"> </w:t>
      </w:r>
      <w:r>
        <w:t xml:space="preserve">(0.05 ~ 0.5 l/min) nezaznamená v uplynulých </w:t>
      </w:r>
      <w:r>
        <w:rPr>
          <w:b/>
        </w:rPr>
        <w:t>14</w:t>
      </w:r>
      <w:r>
        <w:t xml:space="preserve"> dnech jakoukoli aktivitu. Slouží k vypuštění zásobní vody z nádrže.</w:t>
      </w:r>
    </w:p>
    <w:p w:rsidR="00287B1D" w:rsidRDefault="00BB6CB9">
      <w:pPr>
        <w:spacing w:after="0"/>
        <w:ind w:left="-567" w:right="284"/>
        <w:jc w:val="both"/>
        <w:rPr>
          <w:color w:val="00B050"/>
        </w:rPr>
      </w:pPr>
      <w:r>
        <w:rPr>
          <w:color w:val="00B050"/>
        </w:rPr>
        <w:t>Po zapnutí a otevření, se procházející proud sníží ~ na udržovací 1/10 nominálního proudu</w:t>
      </w:r>
    </w:p>
    <w:p w:rsidR="00287B1D" w:rsidRDefault="00287B1D">
      <w:pPr>
        <w:spacing w:after="0"/>
        <w:ind w:left="-567" w:right="284"/>
        <w:jc w:val="both"/>
        <w:rPr>
          <w:color w:val="00B050"/>
        </w:rPr>
      </w:pPr>
    </w:p>
    <w:p w:rsidR="00287B1D" w:rsidRDefault="00BB6CB9">
      <w:pPr>
        <w:spacing w:after="0"/>
        <w:ind w:left="-567" w:right="284"/>
        <w:jc w:val="both"/>
      </w:pPr>
      <w:r>
        <w:rPr>
          <w:b/>
          <w:u w:val="single"/>
        </w:rPr>
        <w:t>UV-C LED</w:t>
      </w:r>
      <w:r>
        <w:t xml:space="preserve"> – je zapojena na výstupu a její funkcí je sterilizace výstupní vody, směřující k odběrnému kohoutku a hlášení poruchových stavů, např. přehřátí v případě, že v reaktoru chybí voda. Tato informace je poslána do komunikačního modulu </w:t>
      </w:r>
      <w:r>
        <w:rPr>
          <w:b/>
        </w:rPr>
        <w:t>RDM_2b</w:t>
      </w:r>
      <w:r>
        <w:t xml:space="preserve">, který situaci vyhodnotí tak, že vyšle poruchový signál formou SMS, e-mailu, webové aplikace a do </w:t>
      </w:r>
      <w:r>
        <w:rPr>
          <w:b/>
        </w:rPr>
        <w:t xml:space="preserve">RGB_LED_2 </w:t>
      </w:r>
      <w:r>
        <w:t xml:space="preserve">a reaktor a </w:t>
      </w:r>
      <w:r>
        <w:rPr>
          <w:b/>
        </w:rPr>
        <w:t>SV</w:t>
      </w:r>
      <w:r w:rsidR="009C104D">
        <w:rPr>
          <w:b/>
        </w:rPr>
        <w:t>0</w:t>
      </w:r>
      <w:r>
        <w:rPr>
          <w:b/>
        </w:rPr>
        <w:t>NC</w:t>
      </w:r>
      <w:r>
        <w:t xml:space="preserve"> (pokud je momentálně zapnutý) vypne na dobu </w:t>
      </w:r>
      <w:r>
        <w:rPr>
          <w:b/>
        </w:rPr>
        <w:t>5</w:t>
      </w:r>
      <w:r>
        <w:t xml:space="preserve"> minut, (indikace </w:t>
      </w:r>
      <w:r>
        <w:rPr>
          <w:color w:val="FF0000"/>
        </w:rPr>
        <w:t>červená</w:t>
      </w:r>
      <w:r>
        <w:t xml:space="preserve"> blikající LED, kdy mezitím dojde k vychladnutí reaktoru. Následně se technologie opět zapne.</w:t>
      </w:r>
    </w:p>
    <w:p w:rsidR="00287B1D" w:rsidRDefault="00287B1D">
      <w:pPr>
        <w:ind w:left="-567" w:right="284"/>
        <w:jc w:val="center"/>
        <w:rPr>
          <w:b/>
          <w:i/>
          <w:color w:val="FF0000"/>
          <w:u w:val="single"/>
        </w:rPr>
      </w:pPr>
    </w:p>
    <w:p w:rsidR="000D3E88" w:rsidRDefault="000D3E88">
      <w:pPr>
        <w:ind w:left="-567" w:right="284"/>
        <w:jc w:val="center"/>
        <w:rPr>
          <w:b/>
          <w:i/>
          <w:color w:val="FF0000"/>
          <w:u w:val="single"/>
        </w:rPr>
      </w:pPr>
    </w:p>
    <w:p w:rsidR="00287B1D" w:rsidRDefault="00BB6CB9">
      <w:pPr>
        <w:ind w:left="-567" w:right="284"/>
        <w:jc w:val="center"/>
        <w:rPr>
          <w:b/>
          <w:i/>
          <w:color w:val="FF0000"/>
          <w:u w:val="single"/>
        </w:rPr>
      </w:pPr>
      <w:r>
        <w:rPr>
          <w:b/>
          <w:i/>
          <w:color w:val="FF0000"/>
          <w:u w:val="single"/>
        </w:rPr>
        <w:lastRenderedPageBreak/>
        <w:t>ad 10) Popis funkce UV-C LED</w:t>
      </w:r>
    </w:p>
    <w:p w:rsidR="00287B1D" w:rsidRDefault="00BB6CB9">
      <w:pPr>
        <w:pStyle w:val="Odstavecseseznamem"/>
        <w:numPr>
          <w:ilvl w:val="0"/>
          <w:numId w:val="9"/>
        </w:numPr>
        <w:tabs>
          <w:tab w:val="clear" w:pos="720"/>
        </w:tabs>
        <w:spacing w:after="0"/>
        <w:ind w:left="-567" w:right="284" w:hanging="284"/>
        <w:jc w:val="both"/>
        <w:rPr>
          <w:color w:val="7030A0"/>
        </w:rPr>
      </w:pPr>
      <w:r>
        <w:rPr>
          <w:b/>
          <w:i/>
          <w:color w:val="0000FF"/>
          <w:u w:val="single"/>
        </w:rPr>
        <w:t>Upozornění:</w:t>
      </w:r>
      <w:r>
        <w:t xml:space="preserve"> </w:t>
      </w:r>
      <w:r>
        <w:rPr>
          <w:color w:val="7030A0"/>
        </w:rPr>
        <w:t xml:space="preserve">Po uzavření odběrného kohoutku a zastavení </w:t>
      </w:r>
      <w:r>
        <w:rPr>
          <w:b/>
          <w:color w:val="7030A0"/>
        </w:rPr>
        <w:t>FM</w:t>
      </w:r>
      <w:r w:rsidR="009C104D">
        <w:rPr>
          <w:b/>
          <w:color w:val="7030A0"/>
        </w:rPr>
        <w:t>1</w:t>
      </w:r>
      <w:r>
        <w:rPr>
          <w:b/>
          <w:color w:val="7030A0"/>
        </w:rPr>
        <w:t xml:space="preserve"> </w:t>
      </w:r>
      <w:r>
        <w:rPr>
          <w:color w:val="7030A0"/>
        </w:rPr>
        <w:t xml:space="preserve">je </w:t>
      </w:r>
      <w:r>
        <w:rPr>
          <w:b/>
          <w:color w:val="7030A0"/>
        </w:rPr>
        <w:t>UV-C LED</w:t>
      </w:r>
      <w:r>
        <w:rPr>
          <w:color w:val="7030A0"/>
        </w:rPr>
        <w:t xml:space="preserve"> </w:t>
      </w:r>
      <w:r>
        <w:rPr>
          <w:b/>
          <w:color w:val="7030A0"/>
        </w:rPr>
        <w:t>SW</w:t>
      </w:r>
      <w:r>
        <w:rPr>
          <w:color w:val="7030A0"/>
        </w:rPr>
        <w:t xml:space="preserve"> nastavena vždy tak, že ještě </w:t>
      </w:r>
      <w:r>
        <w:rPr>
          <w:b/>
          <w:color w:val="7030A0"/>
        </w:rPr>
        <w:t>1</w:t>
      </w:r>
      <w:r>
        <w:rPr>
          <w:color w:val="7030A0"/>
        </w:rPr>
        <w:t xml:space="preserve"> minutu po zastavení </w:t>
      </w:r>
      <w:r>
        <w:rPr>
          <w:b/>
          <w:color w:val="7030A0"/>
        </w:rPr>
        <w:t>UV-C LED</w:t>
      </w:r>
      <w:r>
        <w:rPr>
          <w:color w:val="7030A0"/>
        </w:rPr>
        <w:t xml:space="preserve"> pracuje a sterilizuje obsah (36 ml)  </w:t>
      </w:r>
      <w:r>
        <w:rPr>
          <w:b/>
          <w:color w:val="7030A0"/>
        </w:rPr>
        <w:t>UV-C LED</w:t>
      </w:r>
      <w:r>
        <w:rPr>
          <w:color w:val="7030A0"/>
        </w:rPr>
        <w:t xml:space="preserve">. Tuto </w:t>
      </w:r>
      <w:r>
        <w:rPr>
          <w:b/>
          <w:color w:val="7030A0"/>
        </w:rPr>
        <w:t>1</w:t>
      </w:r>
      <w:r>
        <w:rPr>
          <w:color w:val="7030A0"/>
        </w:rPr>
        <w:t xml:space="preserve"> minutu je nutné připočítávat k životnosti </w:t>
      </w:r>
      <w:r>
        <w:rPr>
          <w:b/>
          <w:color w:val="7030A0"/>
        </w:rPr>
        <w:t>UV-C LED</w:t>
      </w:r>
      <w:r>
        <w:rPr>
          <w:color w:val="7030A0"/>
        </w:rPr>
        <w:t xml:space="preserve"> a to tak, že </w:t>
      </w:r>
      <w:r>
        <w:rPr>
          <w:b/>
          <w:color w:val="7030A0"/>
        </w:rPr>
        <w:t>1</w:t>
      </w:r>
      <w:r>
        <w:rPr>
          <w:color w:val="7030A0"/>
        </w:rPr>
        <w:t xml:space="preserve"> minuta se rovná </w:t>
      </w:r>
      <w:r>
        <w:rPr>
          <w:b/>
          <w:color w:val="FF0000"/>
        </w:rPr>
        <w:t>1,25</w:t>
      </w:r>
      <w:r>
        <w:rPr>
          <w:color w:val="FF0000"/>
        </w:rPr>
        <w:t xml:space="preserve"> </w:t>
      </w:r>
      <w:r>
        <w:rPr>
          <w:color w:val="7030A0"/>
        </w:rPr>
        <w:t xml:space="preserve">litrům průtoku </w:t>
      </w:r>
      <w:r>
        <w:rPr>
          <w:b/>
          <w:color w:val="7030A0"/>
        </w:rPr>
        <w:t xml:space="preserve">UV-C LED.  </w:t>
      </w:r>
      <w:r>
        <w:rPr>
          <w:color w:val="7030A0"/>
        </w:rPr>
        <w:t xml:space="preserve">V Případě, že se filtrační systém nepoužije </w:t>
      </w:r>
      <w:r>
        <w:rPr>
          <w:b/>
          <w:color w:val="7030A0"/>
        </w:rPr>
        <w:t>12</w:t>
      </w:r>
      <w:r>
        <w:rPr>
          <w:color w:val="7030A0"/>
        </w:rPr>
        <w:t xml:space="preserve"> hodin, (</w:t>
      </w:r>
      <w:r>
        <w:rPr>
          <w:b/>
          <w:color w:val="7030A0"/>
        </w:rPr>
        <w:t>FM</w:t>
      </w:r>
      <w:r w:rsidR="009C104D">
        <w:rPr>
          <w:b/>
          <w:color w:val="7030A0"/>
        </w:rPr>
        <w:t>2</w:t>
      </w:r>
      <w:r>
        <w:rPr>
          <w:b/>
          <w:color w:val="7030A0"/>
        </w:rPr>
        <w:t xml:space="preserve"> </w:t>
      </w:r>
      <w:r>
        <w:rPr>
          <w:color w:val="7030A0"/>
        </w:rPr>
        <w:t xml:space="preserve">(0.05 ~ 0.5 l/min) je neaktivní), </w:t>
      </w:r>
      <w:r>
        <w:rPr>
          <w:b/>
          <w:color w:val="7030A0"/>
        </w:rPr>
        <w:t>RDM_2b</w:t>
      </w:r>
      <w:r>
        <w:rPr>
          <w:color w:val="7030A0"/>
        </w:rPr>
        <w:t xml:space="preserve"> automaticky zapíná </w:t>
      </w:r>
      <w:r>
        <w:rPr>
          <w:b/>
          <w:color w:val="7030A0"/>
        </w:rPr>
        <w:t>UVC-LED</w:t>
      </w:r>
      <w:r>
        <w:rPr>
          <w:color w:val="7030A0"/>
        </w:rPr>
        <w:t xml:space="preserve"> na </w:t>
      </w:r>
      <w:r>
        <w:rPr>
          <w:b/>
          <w:color w:val="7030A0"/>
        </w:rPr>
        <w:t>2</w:t>
      </w:r>
      <w:r>
        <w:rPr>
          <w:color w:val="7030A0"/>
        </w:rPr>
        <w:t xml:space="preserve"> minuty tak, aby se stojatá voda, obsažená v reaktoru opětovně sterilizovala. Pokud se v průběhu </w:t>
      </w:r>
      <w:r>
        <w:rPr>
          <w:b/>
          <w:color w:val="7030A0"/>
        </w:rPr>
        <w:t>12</w:t>
      </w:r>
      <w:r>
        <w:rPr>
          <w:color w:val="7030A0"/>
        </w:rPr>
        <w:t xml:space="preserve"> hodin aktivuje  </w:t>
      </w:r>
      <w:r>
        <w:rPr>
          <w:b/>
          <w:color w:val="7030A0"/>
        </w:rPr>
        <w:t>FM</w:t>
      </w:r>
      <w:r w:rsidR="009C104D">
        <w:rPr>
          <w:b/>
          <w:color w:val="7030A0"/>
        </w:rPr>
        <w:t>2</w:t>
      </w:r>
      <w:r>
        <w:rPr>
          <w:b/>
          <w:color w:val="7030A0"/>
        </w:rPr>
        <w:t xml:space="preserve"> </w:t>
      </w:r>
      <w:r>
        <w:rPr>
          <w:color w:val="7030A0"/>
        </w:rPr>
        <w:t xml:space="preserve">(0.05 ~ 0.5 l/min), tato funkce se automaticky deaktivuje a čeká pro zapnutí na dalších </w:t>
      </w:r>
      <w:r>
        <w:rPr>
          <w:b/>
          <w:color w:val="7030A0"/>
        </w:rPr>
        <w:t>12</w:t>
      </w:r>
      <w:r>
        <w:rPr>
          <w:color w:val="7030A0"/>
        </w:rPr>
        <w:t xml:space="preserve"> hodin nečinnosti.</w:t>
      </w:r>
    </w:p>
    <w:p w:rsidR="00287B1D" w:rsidRDefault="00BB6CB9">
      <w:pPr>
        <w:pStyle w:val="Odstavecseseznamem"/>
        <w:numPr>
          <w:ilvl w:val="0"/>
          <w:numId w:val="9"/>
        </w:numPr>
        <w:tabs>
          <w:tab w:val="clear" w:pos="720"/>
        </w:tabs>
        <w:spacing w:after="0"/>
        <w:ind w:left="-567" w:right="284" w:hanging="284"/>
        <w:jc w:val="both"/>
        <w:rPr>
          <w:color w:val="7030A0"/>
        </w:rPr>
      </w:pPr>
      <w:r>
        <w:rPr>
          <w:b/>
          <w:i/>
          <w:color w:val="0000FF"/>
          <w:u w:val="single"/>
        </w:rPr>
        <w:t>Pozn.</w:t>
      </w:r>
      <w:r>
        <w:rPr>
          <w:color w:val="7030A0"/>
        </w:rPr>
        <w:t xml:space="preserve"> Tato funkce (automatická sterilizace) je nutná spolu s </w:t>
      </w:r>
      <w:proofErr w:type="gramStart"/>
      <w:r>
        <w:rPr>
          <w:color w:val="7030A0"/>
        </w:rPr>
        <w:t>automatickou   výměnou</w:t>
      </w:r>
      <w:proofErr w:type="gramEnd"/>
      <w:r>
        <w:rPr>
          <w:color w:val="7030A0"/>
        </w:rPr>
        <w:t xml:space="preserve"> obsahu zásobní nádrže (</w:t>
      </w:r>
      <w:r>
        <w:rPr>
          <w:b/>
          <w:color w:val="7030A0"/>
        </w:rPr>
        <w:t>14</w:t>
      </w:r>
      <w:r>
        <w:rPr>
          <w:color w:val="7030A0"/>
        </w:rPr>
        <w:t xml:space="preserve"> dnů nečinnosti), pro udržení kvalitní a bakteriálně bezpečné vody.</w:t>
      </w:r>
    </w:p>
    <w:p w:rsidR="00287B1D" w:rsidRDefault="00BB6CB9">
      <w:pPr>
        <w:pStyle w:val="Odstavecseseznamem"/>
        <w:spacing w:after="0"/>
        <w:ind w:left="-567" w:right="284"/>
        <w:jc w:val="both"/>
        <w:rPr>
          <w:color w:val="7030A0"/>
        </w:rPr>
      </w:pPr>
      <w:r>
        <w:rPr>
          <w:noProof/>
          <w:lang w:eastAsia="cs-CZ"/>
        </w:rPr>
        <w:drawing>
          <wp:inline distT="0" distB="0" distL="0" distR="0">
            <wp:extent cx="6070600" cy="3409315"/>
            <wp:effectExtent l="0" t="0" r="0" b="0"/>
            <wp:docPr id="14" name="Obrázek 50" descr="C:\Users\VTI\AppData\Local\Microsoft\Windows\INetCache\Content.Outlook\XK38IIY7\Thermalmanagement - UV-C LED - W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50" descr="C:\Users\VTI\AppData\Local\Microsoft\Windows\INetCache\Content.Outlook\XK38IIY7\Thermalmanagement - UV-C LED - WR.png"/>
                    <pic:cNvPicPr>
                      <a:picLocks noChangeAspect="1" noChangeArrowheads="1"/>
                    </pic:cNvPicPr>
                  </pic:nvPicPr>
                  <pic:blipFill>
                    <a:blip r:embed="rId29"/>
                    <a:stretch>
                      <a:fillRect/>
                    </a:stretch>
                  </pic:blipFill>
                  <pic:spPr bwMode="auto">
                    <a:xfrm>
                      <a:off x="0" y="0"/>
                      <a:ext cx="6070600" cy="3409315"/>
                    </a:xfrm>
                    <a:prstGeom prst="rect">
                      <a:avLst/>
                    </a:prstGeom>
                  </pic:spPr>
                </pic:pic>
              </a:graphicData>
            </a:graphic>
          </wp:inline>
        </w:drawing>
      </w:r>
    </w:p>
    <w:p w:rsidR="00287B1D" w:rsidRDefault="00287B1D">
      <w:pPr>
        <w:pStyle w:val="Odstavecseseznamem"/>
        <w:spacing w:after="0"/>
        <w:ind w:left="-567" w:right="284"/>
        <w:jc w:val="both"/>
        <w:rPr>
          <w:color w:val="7030A0"/>
        </w:rPr>
      </w:pPr>
    </w:p>
    <w:p w:rsidR="00287B1D" w:rsidRDefault="00BB6CB9">
      <w:pPr>
        <w:pStyle w:val="Odstavecseseznamem"/>
        <w:spacing w:after="0"/>
        <w:ind w:left="-567" w:right="284" w:firstLine="1275"/>
        <w:jc w:val="both"/>
        <w:rPr>
          <w:sz w:val="14"/>
          <w:szCs w:val="14"/>
          <w:lang w:eastAsia="cs-CZ"/>
        </w:rPr>
      </w:pPr>
      <w:r>
        <w:rPr>
          <w:sz w:val="14"/>
          <w:szCs w:val="14"/>
          <w:lang w:eastAsia="cs-CZ"/>
        </w:rPr>
        <w:t xml:space="preserve">                 </w:t>
      </w:r>
      <w:proofErr w:type="gramStart"/>
      <w:r>
        <w:rPr>
          <w:sz w:val="14"/>
          <w:szCs w:val="14"/>
          <w:lang w:eastAsia="cs-CZ"/>
        </w:rPr>
        <w:t>Obr.11</w:t>
      </w:r>
      <w:proofErr w:type="gramEnd"/>
      <w:r>
        <w:rPr>
          <w:sz w:val="14"/>
          <w:szCs w:val="14"/>
          <w:lang w:eastAsia="cs-CZ"/>
        </w:rPr>
        <w:t>; Graf. 2 Závislost teploty UV-C LED při průtoku, při stojaté vodě a bez vody</w:t>
      </w:r>
    </w:p>
    <w:p w:rsidR="00287B1D" w:rsidRDefault="00287B1D">
      <w:pPr>
        <w:pStyle w:val="Odstavecseseznamem"/>
        <w:spacing w:after="0"/>
        <w:ind w:left="-567" w:right="284" w:firstLine="1275"/>
        <w:jc w:val="both"/>
        <w:rPr>
          <w:sz w:val="14"/>
          <w:szCs w:val="14"/>
          <w:lang w:eastAsia="cs-CZ"/>
        </w:rPr>
      </w:pPr>
    </w:p>
    <w:p w:rsidR="00287B1D" w:rsidRDefault="00BB6CB9">
      <w:pPr>
        <w:ind w:left="-567" w:right="284"/>
        <w:jc w:val="center"/>
        <w:rPr>
          <w:b/>
          <w:i/>
          <w:color w:val="FF0000"/>
          <w:u w:val="single"/>
        </w:rPr>
      </w:pPr>
      <w:r>
        <w:rPr>
          <w:b/>
          <w:i/>
          <w:color w:val="FF0000"/>
          <w:u w:val="single"/>
        </w:rPr>
        <w:t xml:space="preserve">ad 11) Popis </w:t>
      </w:r>
      <w:proofErr w:type="gramStart"/>
      <w:r>
        <w:rPr>
          <w:b/>
          <w:i/>
          <w:color w:val="FF0000"/>
          <w:u w:val="single"/>
        </w:rPr>
        <w:t>postupu  desinfekce</w:t>
      </w:r>
      <w:proofErr w:type="gramEnd"/>
      <w:r>
        <w:rPr>
          <w:b/>
          <w:i/>
          <w:color w:val="FF0000"/>
          <w:u w:val="single"/>
        </w:rPr>
        <w:t xml:space="preserve"> odběrného  kohoutku</w:t>
      </w:r>
    </w:p>
    <w:p w:rsidR="00287B1D" w:rsidRDefault="00287B1D">
      <w:pPr>
        <w:pStyle w:val="Odstavecseseznamem"/>
        <w:spacing w:after="0"/>
        <w:ind w:left="-567" w:right="284" w:firstLine="1275"/>
        <w:jc w:val="both"/>
        <w:rPr>
          <w:sz w:val="14"/>
          <w:szCs w:val="14"/>
          <w:lang w:eastAsia="cs-CZ"/>
        </w:rPr>
      </w:pPr>
    </w:p>
    <w:p w:rsidR="00287B1D" w:rsidRDefault="00BB6CB9">
      <w:pPr>
        <w:pStyle w:val="Odstavecseseznamem"/>
        <w:numPr>
          <w:ilvl w:val="0"/>
          <w:numId w:val="9"/>
        </w:numPr>
        <w:tabs>
          <w:tab w:val="clear" w:pos="720"/>
        </w:tabs>
        <w:spacing w:after="0"/>
        <w:ind w:left="-567" w:right="284" w:hanging="284"/>
        <w:jc w:val="both"/>
        <w:rPr>
          <w:color w:val="7030A0"/>
        </w:rPr>
      </w:pPr>
      <w:r>
        <w:t xml:space="preserve">Doporučujeme, aby se </w:t>
      </w:r>
      <w:r>
        <w:rPr>
          <w:u w:val="single"/>
        </w:rPr>
        <w:t>častěji desinfikoval odběrový kohout</w:t>
      </w:r>
      <w:r>
        <w:t xml:space="preserve"> (hlavně při delší nečinnosti) tak, že se vysune nebo vyšroubuje výtokové raménko, to se položí do vhodné nádobky a přelije se doporučeným </w:t>
      </w:r>
      <w:r>
        <w:rPr>
          <w:b/>
          <w:i/>
        </w:rPr>
        <w:t>desinfekčním prostředkem</w:t>
      </w:r>
      <w:r>
        <w:t xml:space="preserve"> (desinfekční roztok Peroxidu vodíku </w:t>
      </w:r>
      <w:r>
        <w:rPr>
          <w:rFonts w:ascii="Arial" w:hAnsi="Arial" w:cs="Arial"/>
          <w:b/>
          <w:color w:val="202124"/>
          <w:sz w:val="21"/>
          <w:szCs w:val="21"/>
          <w:shd w:val="clear" w:color="auto" w:fill="FFFFFF"/>
        </w:rPr>
        <w:t>H</w:t>
      </w:r>
      <w:r>
        <w:rPr>
          <w:rFonts w:ascii="Arial" w:hAnsi="Arial" w:cs="Arial"/>
          <w:color w:val="202124"/>
          <w:shd w:val="clear" w:color="auto" w:fill="FFFFFF"/>
          <w:vertAlign w:val="subscript"/>
        </w:rPr>
        <w:t>2</w:t>
      </w:r>
      <w:r>
        <w:rPr>
          <w:rFonts w:ascii="Arial" w:hAnsi="Arial" w:cs="Arial"/>
          <w:b/>
          <w:color w:val="202124"/>
          <w:sz w:val="21"/>
          <w:szCs w:val="21"/>
          <w:shd w:val="clear" w:color="auto" w:fill="FFFFFF"/>
        </w:rPr>
        <w:t>O</w:t>
      </w:r>
      <w:r>
        <w:rPr>
          <w:rFonts w:ascii="Arial" w:hAnsi="Arial" w:cs="Arial"/>
          <w:color w:val="202124"/>
          <w:shd w:val="clear" w:color="auto" w:fill="FFFFFF"/>
          <w:vertAlign w:val="subscript"/>
        </w:rPr>
        <w:t xml:space="preserve">2  </w:t>
      </w:r>
      <w:r>
        <w:rPr>
          <w:b/>
        </w:rPr>
        <w:t>3</w:t>
      </w:r>
      <w:r>
        <w:t xml:space="preserve">%, alternativně Kyseliny citronové </w:t>
      </w:r>
      <w:r>
        <w:rPr>
          <w:b/>
        </w:rPr>
        <w:t>C</w:t>
      </w:r>
      <w:r>
        <w:rPr>
          <w:vertAlign w:val="subscript"/>
        </w:rPr>
        <w:t>6</w:t>
      </w:r>
      <w:r>
        <w:rPr>
          <w:b/>
        </w:rPr>
        <w:t>H</w:t>
      </w:r>
      <w:r>
        <w:rPr>
          <w:vertAlign w:val="subscript"/>
        </w:rPr>
        <w:t>8</w:t>
      </w:r>
      <w:r>
        <w:rPr>
          <w:b/>
        </w:rPr>
        <w:t>O</w:t>
      </w:r>
      <w:r>
        <w:rPr>
          <w:vertAlign w:val="subscript"/>
        </w:rPr>
        <w:t>7</w:t>
      </w:r>
      <w:r>
        <w:t xml:space="preserve"> – monohydrát </w:t>
      </w:r>
      <w:r>
        <w:rPr>
          <w:b/>
        </w:rPr>
        <w:t>99</w:t>
      </w:r>
      <w:r>
        <w:t>%, v </w:t>
      </w:r>
      <w:r>
        <w:rPr>
          <w:b/>
        </w:rPr>
        <w:t>5</w:t>
      </w:r>
      <w:r>
        <w:t>% koncentraci)</w:t>
      </w:r>
      <w:r>
        <w:rPr>
          <w:b/>
          <w:i/>
        </w:rPr>
        <w:t xml:space="preserve"> </w:t>
      </w:r>
      <w:r>
        <w:t>tak, aby raménko bylo celé pod hladinou. Je nutné dodržet bezpečnou manipulaci s používanou desinfekcí (</w:t>
      </w:r>
      <w:r>
        <w:rPr>
          <w:b/>
          <w:u w:val="single"/>
        </w:rPr>
        <w:t xml:space="preserve">ochranné brýle, latexové </w:t>
      </w:r>
      <w:proofErr w:type="gramStart"/>
      <w:r>
        <w:rPr>
          <w:b/>
          <w:u w:val="single"/>
        </w:rPr>
        <w:t>rukavice a  odvětrání</w:t>
      </w:r>
      <w:proofErr w:type="gramEnd"/>
      <w:r>
        <w:rPr>
          <w:b/>
          <w:u w:val="single"/>
        </w:rPr>
        <w:t xml:space="preserve"> prostoru</w:t>
      </w:r>
      <w:r>
        <w:t xml:space="preserve">). </w:t>
      </w:r>
    </w:p>
    <w:p w:rsidR="00287B1D" w:rsidRDefault="00287B1D">
      <w:pPr>
        <w:pStyle w:val="Odstavecseseznamem"/>
      </w:pPr>
    </w:p>
    <w:p w:rsidR="00287B1D" w:rsidRDefault="00BB6CB9">
      <w:pPr>
        <w:pStyle w:val="Odstavecseseznamem"/>
        <w:numPr>
          <w:ilvl w:val="0"/>
          <w:numId w:val="9"/>
        </w:numPr>
        <w:tabs>
          <w:tab w:val="clear" w:pos="720"/>
        </w:tabs>
        <w:spacing w:after="0"/>
        <w:ind w:left="-567" w:right="284" w:hanging="284"/>
        <w:jc w:val="both"/>
        <w:rPr>
          <w:color w:val="7030A0"/>
        </w:rPr>
      </w:pPr>
      <w:r>
        <w:lastRenderedPageBreak/>
        <w:t xml:space="preserve">Do pevné části odběrového kohoutu nalijeme z vrchu příslušnou desinfekci a necháme v obou případech působit cca </w:t>
      </w:r>
      <w:r>
        <w:rPr>
          <w:b/>
        </w:rPr>
        <w:t>½</w:t>
      </w:r>
      <w:r>
        <w:t xml:space="preserve"> hodiny. Následně raménko odběrového kohoutu vyjmeme z desinfekční nádobky, opláchneme zvenku pitnou vodou a vsuneme (zašroubujeme) jej zpět do pevné části. Otevřeme odběrový kohout a vypustíme cca </w:t>
      </w:r>
      <w:r>
        <w:rPr>
          <w:b/>
        </w:rPr>
        <w:t>1</w:t>
      </w:r>
      <w:r>
        <w:t xml:space="preserve"> až </w:t>
      </w:r>
      <w:r>
        <w:rPr>
          <w:b/>
        </w:rPr>
        <w:t>1.5</w:t>
      </w:r>
      <w:r>
        <w:t xml:space="preserve"> litru vody. Filtrační systém je tak připraven k použití a k případným kontrolním odběrům.</w:t>
      </w:r>
    </w:p>
    <w:p w:rsidR="00BB7A9C" w:rsidRDefault="00BB7A9C">
      <w:pPr>
        <w:spacing w:after="0"/>
        <w:ind w:right="284"/>
        <w:jc w:val="center"/>
        <w:rPr>
          <w:b/>
          <w:i/>
          <w:color w:val="FF0000"/>
          <w:u w:val="single"/>
        </w:rPr>
      </w:pPr>
    </w:p>
    <w:p w:rsidR="00287B1D" w:rsidRDefault="00BB6CB9">
      <w:pPr>
        <w:spacing w:after="0"/>
        <w:ind w:right="284"/>
        <w:jc w:val="center"/>
        <w:rPr>
          <w:b/>
          <w:i/>
          <w:color w:val="FF0000"/>
          <w:u w:val="single"/>
        </w:rPr>
      </w:pPr>
      <w:r>
        <w:rPr>
          <w:b/>
          <w:i/>
          <w:color w:val="FF0000"/>
          <w:u w:val="single"/>
        </w:rPr>
        <w:t>ad 12) Popis funkce RGB_LED_2 modulu a FM3 (0.05 ~ 0.5 l/min)</w:t>
      </w:r>
    </w:p>
    <w:p w:rsidR="00287B1D" w:rsidRDefault="00287B1D">
      <w:pPr>
        <w:spacing w:after="0"/>
        <w:ind w:right="284"/>
        <w:jc w:val="both"/>
        <w:rPr>
          <w:b/>
          <w:i/>
          <w:color w:val="FF0000"/>
          <w:u w:val="single"/>
        </w:rPr>
      </w:pPr>
    </w:p>
    <w:p w:rsidR="00287B1D" w:rsidRDefault="00BB6CB9">
      <w:pPr>
        <w:spacing w:after="0"/>
        <w:ind w:left="-567" w:right="284"/>
        <w:jc w:val="both"/>
      </w:pPr>
      <w:r>
        <w:rPr>
          <w:b/>
        </w:rPr>
        <w:t xml:space="preserve">RGB_LED_2 </w:t>
      </w:r>
      <w:r>
        <w:t xml:space="preserve">modul </w:t>
      </w:r>
      <w:r>
        <w:rPr>
          <w:b/>
        </w:rPr>
        <w:t xml:space="preserve">– </w:t>
      </w:r>
      <w:r>
        <w:t xml:space="preserve">V pravé  dolní  části modulu je </w:t>
      </w:r>
      <w:proofErr w:type="gramStart"/>
      <w:r>
        <w:rPr>
          <w:b/>
        </w:rPr>
        <w:t>6</w:t>
      </w:r>
      <w:r>
        <w:t>ti</w:t>
      </w:r>
      <w:proofErr w:type="gramEnd"/>
      <w:r>
        <w:t xml:space="preserve"> pinový konektor, který slouží pro napájení  modulu </w:t>
      </w:r>
      <w:r>
        <w:rPr>
          <w:b/>
        </w:rPr>
        <w:t xml:space="preserve">24 </w:t>
      </w:r>
      <w:r>
        <w:t xml:space="preserve">VDC a </w:t>
      </w:r>
      <w:r>
        <w:rPr>
          <w:b/>
        </w:rPr>
        <w:t xml:space="preserve">5 </w:t>
      </w:r>
      <w:r>
        <w:t xml:space="preserve">VDC a pro přenos dat  </w:t>
      </w:r>
      <w:r>
        <w:rPr>
          <w:b/>
        </w:rPr>
        <w:t>RSL A</w:t>
      </w:r>
      <w:r>
        <w:t xml:space="preserve"> a </w:t>
      </w:r>
      <w:r>
        <w:rPr>
          <w:b/>
        </w:rPr>
        <w:t>RSL B</w:t>
      </w:r>
      <w:r>
        <w:t xml:space="preserve">. Ve střední levé a pravé části jsou dvě </w:t>
      </w:r>
      <w:r>
        <w:rPr>
          <w:b/>
        </w:rPr>
        <w:t>SMD</w:t>
      </w:r>
      <w:r>
        <w:t xml:space="preserve"> </w:t>
      </w:r>
      <w:r>
        <w:rPr>
          <w:b/>
        </w:rPr>
        <w:t xml:space="preserve">RGB_LED_2 </w:t>
      </w:r>
      <w:r>
        <w:t>diody, které slouží k identifikaci závad a provozu</w:t>
      </w:r>
    </w:p>
    <w:p w:rsidR="00287B1D" w:rsidRDefault="00287B1D">
      <w:pPr>
        <w:spacing w:after="0"/>
        <w:ind w:left="-567" w:right="284"/>
        <w:jc w:val="both"/>
      </w:pPr>
    </w:p>
    <w:p w:rsidR="00287B1D" w:rsidRPr="00533470" w:rsidRDefault="00BB6CB9">
      <w:pPr>
        <w:spacing w:after="0"/>
        <w:ind w:left="-567" w:right="284"/>
        <w:jc w:val="both"/>
      </w:pPr>
      <w:r>
        <w:rPr>
          <w:b/>
          <w:u w:val="single"/>
        </w:rPr>
        <w:t>TL1</w:t>
      </w:r>
      <w:r>
        <w:rPr>
          <w:b/>
        </w:rPr>
        <w:t xml:space="preserve"> </w:t>
      </w:r>
      <w:r>
        <w:t xml:space="preserve">– na přední horní straně modulu </w:t>
      </w:r>
      <w:r>
        <w:rPr>
          <w:b/>
        </w:rPr>
        <w:t xml:space="preserve">RGB_LED_2 </w:t>
      </w:r>
      <w:r>
        <w:t xml:space="preserve">je tlačítko </w:t>
      </w:r>
      <w:r>
        <w:rPr>
          <w:b/>
        </w:rPr>
        <w:t>TL1</w:t>
      </w:r>
      <w:r>
        <w:t>, které slouží k zalogování k </w:t>
      </w:r>
      <w:r>
        <w:rPr>
          <w:b/>
        </w:rPr>
        <w:t>Wi-Fi</w:t>
      </w:r>
      <w:r>
        <w:t xml:space="preserve"> routeru. O připojování a připojení informují dvě </w:t>
      </w:r>
      <w:r>
        <w:rPr>
          <w:b/>
        </w:rPr>
        <w:t xml:space="preserve">RGB </w:t>
      </w:r>
      <w:r>
        <w:t xml:space="preserve">led, </w:t>
      </w:r>
      <w:r>
        <w:rPr>
          <w:b/>
          <w:color w:val="F4860C"/>
        </w:rPr>
        <w:t xml:space="preserve">oranžová </w:t>
      </w:r>
      <w:r>
        <w:t>a</w:t>
      </w:r>
      <w:r>
        <w:rPr>
          <w:b/>
          <w:color w:val="00B050"/>
        </w:rPr>
        <w:t xml:space="preserve"> zelená</w:t>
      </w:r>
      <w:r w:rsidR="00533470">
        <w:rPr>
          <w:b/>
          <w:color w:val="00B050"/>
        </w:rPr>
        <w:t xml:space="preserve">. </w:t>
      </w:r>
      <w:r w:rsidR="00533470" w:rsidRPr="00533470">
        <w:t xml:space="preserve">Podrobný návod na </w:t>
      </w:r>
      <w:proofErr w:type="gramStart"/>
      <w:r w:rsidR="00533470" w:rsidRPr="00533470">
        <w:t xml:space="preserve">připojení </w:t>
      </w:r>
      <w:r w:rsidR="00533470">
        <w:t xml:space="preserve"> k RDM</w:t>
      </w:r>
      <w:proofErr w:type="gramEnd"/>
      <w:r w:rsidR="00533470">
        <w:t xml:space="preserve">  a do aplikace AQ3 eMonitoring </w:t>
      </w:r>
      <w:r w:rsidR="00533470" w:rsidRPr="00533470">
        <w:t>naleznete v Manuálu k AQ3 Mini</w:t>
      </w:r>
      <w:r w:rsidR="00E736E8">
        <w:t xml:space="preserve"> (ke stažení na </w:t>
      </w:r>
      <w:hyperlink r:id="rId30">
        <w:r w:rsidR="00E736E8">
          <w:rPr>
            <w:rStyle w:val="Internetovodkaz"/>
          </w:rPr>
          <w:t>www.vti-cz.com</w:t>
        </w:r>
      </w:hyperlink>
      <w:r w:rsidR="00E736E8">
        <w:rPr>
          <w:rStyle w:val="Internetovodkaz"/>
        </w:rPr>
        <w:t>;</w:t>
      </w:r>
      <w:r w:rsidR="00E736E8">
        <w:t xml:space="preserve"> </w:t>
      </w:r>
      <w:hyperlink r:id="rId31">
        <w:r w:rsidR="00E736E8">
          <w:rPr>
            <w:rStyle w:val="Internetovodkaz"/>
          </w:rPr>
          <w:t>https://aq3monitoring.com</w:t>
        </w:r>
      </w:hyperlink>
      <w:r w:rsidR="00E736E8" w:rsidRPr="00E736E8">
        <w:rPr>
          <w:rStyle w:val="Internetovodkaz"/>
          <w:color w:val="auto"/>
          <w:u w:val="none"/>
        </w:rPr>
        <w:t>)</w:t>
      </w:r>
    </w:p>
    <w:p w:rsidR="00287B1D" w:rsidRDefault="00BB6CB9">
      <w:pPr>
        <w:spacing w:after="0"/>
        <w:ind w:left="-567" w:right="284"/>
        <w:jc w:val="both"/>
      </w:pPr>
      <w:r>
        <w:rPr>
          <w:b/>
          <w:u w:val="single"/>
        </w:rPr>
        <w:t>FM</w:t>
      </w:r>
      <w:r w:rsidR="009C104D">
        <w:rPr>
          <w:b/>
          <w:u w:val="single"/>
        </w:rPr>
        <w:t>2</w:t>
      </w:r>
      <w:r>
        <w:rPr>
          <w:b/>
          <w:u w:val="single"/>
        </w:rPr>
        <w:t xml:space="preserve"> </w:t>
      </w:r>
      <w:r>
        <w:rPr>
          <w:u w:val="single"/>
        </w:rPr>
        <w:t>(0.05 ~ 0.5 l/min)</w:t>
      </w:r>
      <w:r>
        <w:t xml:space="preserve"> – slouží pro indikaci průtoku výstupní vody do odběrového kohoutku.</w:t>
      </w:r>
    </w:p>
    <w:p w:rsidR="00287B1D" w:rsidRDefault="00287B1D">
      <w:pPr>
        <w:spacing w:after="0"/>
        <w:ind w:left="-567" w:right="284"/>
        <w:jc w:val="both"/>
        <w:rPr>
          <w:b/>
          <w:color w:val="00B050"/>
        </w:rPr>
      </w:pPr>
    </w:p>
    <w:p w:rsidR="00287B1D" w:rsidRDefault="00BB6CB9">
      <w:pPr>
        <w:spacing w:after="0"/>
        <w:ind w:left="-567" w:right="284" w:hanging="284"/>
        <w:jc w:val="both"/>
      </w:pPr>
      <w:r>
        <w:rPr>
          <w:noProof/>
          <w:lang w:eastAsia="cs-CZ"/>
        </w:rPr>
        <mc:AlternateContent>
          <mc:Choice Requires="wps">
            <w:drawing>
              <wp:inline distT="0" distB="0" distL="0" distR="0">
                <wp:extent cx="134620" cy="111125"/>
                <wp:effectExtent l="0" t="0" r="0" b="0"/>
                <wp:docPr id="15" name="Obrázek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pic:blipFill>
                      <pic:spPr>
                        <a:xfrm>
                          <a:off x="0" y="0"/>
                          <a:ext cx="133920" cy="110520"/>
                        </a:xfrm>
                        <a:prstGeom prst="rect">
                          <a:avLst/>
                        </a:prstGeom>
                        <a:ln>
                          <a:noFill/>
                        </a:ln>
                      </pic:spPr>
                    </pic:pic>
                  </a:graphicData>
                </a:graphic>
              </wp:inline>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margin-left:0pt;margin-top:-8.75pt;width:10.5pt;height:8.65pt;mso-position-vertical:top" type="shapetype_75">
                <v:imagedata r:id="rId33" o:detectmouseclick="t"/>
                <w10:wrap type="none"/>
                <v:stroke color="#3465a4" joinstyle="round" endcap="flat"/>
              </v:shape>
            </w:pict>
          </mc:Fallback>
        </mc:AlternateContent>
      </w:r>
      <w:r>
        <w:rPr>
          <w:b/>
        </w:rPr>
        <w:t xml:space="preserve"> RGB_LED_2 </w:t>
      </w:r>
      <w:r>
        <w:t xml:space="preserve">modul – </w:t>
      </w:r>
      <w:r>
        <w:rPr>
          <w:u w:val="single"/>
        </w:rPr>
        <w:t>rozšíření</w:t>
      </w:r>
      <w:r>
        <w:t xml:space="preserve">: V pravé horní  části  modulu,  je </w:t>
      </w:r>
      <w:proofErr w:type="gramStart"/>
      <w:r>
        <w:rPr>
          <w:b/>
        </w:rPr>
        <w:t>6</w:t>
      </w:r>
      <w:r>
        <w:t>ti</w:t>
      </w:r>
      <w:proofErr w:type="gramEnd"/>
      <w:r>
        <w:t xml:space="preserve"> pinový konektor, do kterého je možné zapojit další elektrické nebo elektronické komponenty, které rozšíří možnosti a funkce technologie </w:t>
      </w:r>
      <w:r>
        <w:rPr>
          <w:b/>
        </w:rPr>
        <w:t xml:space="preserve">AQ3 </w:t>
      </w:r>
      <w:r>
        <w:t xml:space="preserve">Mini a to u </w:t>
      </w:r>
      <w:r>
        <w:rPr>
          <w:i/>
          <w:u w:val="single"/>
        </w:rPr>
        <w:t>veškerých separačních i sedimentačních  modelů</w:t>
      </w:r>
      <w:r>
        <w:t xml:space="preserve">. Tento konektor lze využít i pro propojení barevného displeje, který u některých modelů </w:t>
      </w:r>
      <w:r w:rsidR="00325B3C">
        <w:t xml:space="preserve">na přání </w:t>
      </w:r>
      <w:r>
        <w:t>nahrazuje mechanický tlakový manometr</w:t>
      </w:r>
      <w:r w:rsidR="00325B3C">
        <w:t>.</w:t>
      </w:r>
    </w:p>
    <w:p w:rsidR="00287B1D" w:rsidRDefault="00287B1D">
      <w:pPr>
        <w:spacing w:after="0"/>
        <w:ind w:left="-567" w:right="284" w:hanging="284"/>
        <w:jc w:val="both"/>
      </w:pPr>
    </w:p>
    <w:p w:rsidR="00287B1D" w:rsidRDefault="00BB6CB9">
      <w:pPr>
        <w:ind w:left="-567" w:right="284"/>
        <w:jc w:val="center"/>
        <w:rPr>
          <w:b/>
          <w:i/>
          <w:color w:val="FF0000"/>
          <w:u w:val="single"/>
        </w:rPr>
      </w:pPr>
      <w:r>
        <w:rPr>
          <w:b/>
          <w:i/>
          <w:color w:val="FF0000"/>
          <w:u w:val="single"/>
        </w:rPr>
        <w:t xml:space="preserve">ad 13) Popis funkce komunikačního modulu 1 a 2 </w:t>
      </w:r>
    </w:p>
    <w:p w:rsidR="00287B1D" w:rsidRPr="000D3E88" w:rsidRDefault="00BB6CB9" w:rsidP="000335A7">
      <w:pPr>
        <w:shd w:val="clear" w:color="auto" w:fill="FFFFFF"/>
        <w:ind w:left="-567" w:right="567"/>
        <w:jc w:val="both"/>
        <w:rPr>
          <w:sz w:val="15"/>
          <w:szCs w:val="15"/>
          <w:lang w:eastAsia="cs-CZ"/>
        </w:rPr>
      </w:pPr>
      <w:r>
        <w:tab/>
      </w:r>
      <w:r>
        <w:rPr>
          <w:b/>
          <w:color w:val="943634" w:themeColor="accent2" w:themeShade="BF"/>
        </w:rPr>
        <w:t>RDM_1**</w:t>
      </w:r>
      <w:r>
        <w:t xml:space="preserve"> (Remote Diagnostic Maintenance) – komunikační modul </w:t>
      </w:r>
      <w:r>
        <w:rPr>
          <w:b/>
        </w:rPr>
        <w:t>H1</w:t>
      </w:r>
      <w:r>
        <w:t xml:space="preserve"> ve verzi </w:t>
      </w:r>
      <w:r>
        <w:rPr>
          <w:b/>
        </w:rPr>
        <w:t>1,</w:t>
      </w:r>
      <w:r>
        <w:t xml:space="preserve"> umožňuje v oblasti </w:t>
      </w:r>
      <w:r>
        <w:rPr>
          <w:rFonts w:cstheme="minorHAnsi"/>
        </w:rPr>
        <w:t xml:space="preserve">příjmu </w:t>
      </w:r>
      <w:proofErr w:type="gramStart"/>
      <w:r>
        <w:rPr>
          <w:rFonts w:cstheme="minorHAnsi"/>
        </w:rPr>
        <w:t>signálu</w:t>
      </w:r>
      <w:r>
        <w:rPr>
          <w:rFonts w:cstheme="minorHAnsi"/>
          <w:vertAlign w:val="superscript"/>
        </w:rPr>
        <w:t>x)</w:t>
      </w:r>
      <w:r>
        <w:rPr>
          <w:rFonts w:cstheme="minorHAnsi"/>
        </w:rPr>
        <w:t xml:space="preserve">  od</w:t>
      </w:r>
      <w:proofErr w:type="gramEnd"/>
      <w:r>
        <w:rPr>
          <w:rFonts w:cstheme="minorHAnsi"/>
        </w:rPr>
        <w:t xml:space="preserve"> mobilního operátora T-Mobile, </w:t>
      </w:r>
      <w:r>
        <w:t xml:space="preserve">po přihlášení přes </w:t>
      </w:r>
      <w:r>
        <w:rPr>
          <w:i/>
          <w:u w:val="single"/>
        </w:rPr>
        <w:t>unikátní jméno a heslo</w:t>
      </w:r>
      <w:r>
        <w:t xml:space="preserve"> na </w:t>
      </w:r>
      <w:hyperlink r:id="rId34">
        <w:r>
          <w:rPr>
            <w:rStyle w:val="Internetovodkaz"/>
          </w:rPr>
          <w:t>https://aq3monitoring.com</w:t>
        </w:r>
      </w:hyperlink>
      <w:r>
        <w:t xml:space="preserve"> v sekci </w:t>
      </w:r>
      <w:r>
        <w:rPr>
          <w:highlight w:val="yellow"/>
        </w:rPr>
        <w:t>AQ3-eMonitoring</w:t>
      </w:r>
      <w:r>
        <w:t xml:space="preserve">, vzdálenou </w:t>
      </w:r>
      <w:r w:rsidR="000335A7">
        <w:t xml:space="preserve">obecnou </w:t>
      </w:r>
      <w:r>
        <w:t xml:space="preserve">kontrolu aktivních i pasivních dílů, náhled parametrů v grafické i tabulkové podobě. Pomocí aktivovaného SW </w:t>
      </w:r>
      <w:r>
        <w:rPr>
          <w:b/>
        </w:rPr>
        <w:t>Bat.Control</w:t>
      </w:r>
      <w:r>
        <w:t xml:space="preserve"> 2.24.91 lze provádět úpravy hodnot i dle použitých náplní (klient/servis) a servisní restarty. </w:t>
      </w:r>
      <w:proofErr w:type="gramStart"/>
      <w:r>
        <w:t>Vestavěná  a již</w:t>
      </w:r>
      <w:proofErr w:type="gramEnd"/>
      <w:r>
        <w:t xml:space="preserve"> aktivovaná </w:t>
      </w:r>
      <w:r>
        <w:rPr>
          <w:b/>
        </w:rPr>
        <w:t>eSIM</w:t>
      </w:r>
      <w:r>
        <w:t xml:space="preserve"> karta výrobcem, je na </w:t>
      </w:r>
      <w:r>
        <w:rPr>
          <w:b/>
        </w:rPr>
        <w:t>14</w:t>
      </w:r>
      <w:r>
        <w:t xml:space="preserve"> dnů </w:t>
      </w:r>
      <w:r>
        <w:rPr>
          <w:color w:val="FF0000"/>
          <w:u w:val="single"/>
        </w:rPr>
        <w:t>k vyzkoušení poskytnuta bezplatně</w:t>
      </w:r>
      <w:r>
        <w:t xml:space="preserve">. Následně je účtován paušální poplatek za datové služby, viz ceník na </w:t>
      </w:r>
      <w:hyperlink r:id="rId35">
        <w:r>
          <w:rPr>
            <w:rStyle w:val="Internetovodkaz"/>
          </w:rPr>
          <w:t>www.vti-cz.com</w:t>
        </w:r>
      </w:hyperlink>
      <w:r w:rsidR="000D3E88">
        <w:rPr>
          <w:rStyle w:val="Internetovodkaz"/>
        </w:rPr>
        <w:t xml:space="preserve">; </w:t>
      </w:r>
      <w:r w:rsidR="000D3E88" w:rsidRPr="000D3E88">
        <w:rPr>
          <w:lang w:eastAsia="cs-CZ"/>
        </w:rPr>
        <w:t xml:space="preserve">nebo </w:t>
      </w:r>
      <w:hyperlink r:id="rId36" w:history="1">
        <w:r w:rsidR="000D3E88" w:rsidRPr="000D3E88">
          <w:rPr>
            <w:rStyle w:val="Hypertextovodkaz"/>
            <w:lang w:eastAsia="cs-CZ"/>
          </w:rPr>
          <w:t>https://aq3monitoring.com</w:t>
        </w:r>
      </w:hyperlink>
      <w:r w:rsidR="000D3E88">
        <w:rPr>
          <w:sz w:val="15"/>
          <w:szCs w:val="15"/>
          <w:lang w:eastAsia="cs-CZ"/>
        </w:rPr>
        <w:t xml:space="preserve"> </w:t>
      </w:r>
      <w:r>
        <w:t xml:space="preserve">i v sekci ke stažení, nebo je služba na </w:t>
      </w:r>
      <w:proofErr w:type="gramStart"/>
      <w:r>
        <w:t>žádost  klienta</w:t>
      </w:r>
      <w:proofErr w:type="gramEnd"/>
      <w:r>
        <w:t xml:space="preserve"> ve zkušební době bezplatně deaktivována. Viz </w:t>
      </w:r>
      <w:r>
        <w:rPr>
          <w:b/>
        </w:rPr>
        <w:t>VORP</w:t>
      </w:r>
      <w:r>
        <w:t xml:space="preserve"> čl. 3, odst. 8. </w:t>
      </w:r>
      <w:r>
        <w:rPr>
          <w:b/>
        </w:rPr>
        <w:t>RDM_1</w:t>
      </w:r>
      <w:r>
        <w:t xml:space="preserve"> </w:t>
      </w:r>
      <w:proofErr w:type="gramStart"/>
      <w:r>
        <w:t>má  vestavěný</w:t>
      </w:r>
      <w:proofErr w:type="gramEnd"/>
      <w:r>
        <w:t xml:space="preserve"> čtyřpásmový modul  </w:t>
      </w:r>
      <w:r>
        <w:rPr>
          <w:b/>
        </w:rPr>
        <w:t>M95</w:t>
      </w:r>
      <w:r>
        <w:t>, GSM/GPRS 850/900/1800/1900 MHz</w:t>
      </w:r>
      <w:r>
        <w:rPr>
          <w:rFonts w:cstheme="minorHAnsi"/>
          <w:vertAlign w:val="superscript"/>
        </w:rPr>
        <w:t>x)</w:t>
      </w:r>
      <w:r>
        <w:t xml:space="preserve">, GPRS Class 12. Je možné rozšíření o externí </w:t>
      </w:r>
      <w:r>
        <w:rPr>
          <w:b/>
        </w:rPr>
        <w:t xml:space="preserve">BT, </w:t>
      </w:r>
      <w:r>
        <w:t>pracující v pásmu</w:t>
      </w:r>
      <w:r>
        <w:rPr>
          <w:b/>
        </w:rPr>
        <w:t xml:space="preserve"> </w:t>
      </w:r>
      <w:r>
        <w:rPr>
          <w:rFonts w:ascii="Arial" w:hAnsi="Arial" w:cs="Arial"/>
          <w:b/>
          <w:color w:val="222222"/>
          <w:shd w:val="clear" w:color="auto" w:fill="FFFFFF"/>
        </w:rPr>
        <w:t>V2.1+EDR</w:t>
      </w:r>
      <w:r>
        <w:rPr>
          <w:rFonts w:ascii="Arial" w:hAnsi="Arial" w:cs="Arial"/>
          <w:color w:val="222222"/>
          <w:shd w:val="clear" w:color="auto" w:fill="FFFFFF"/>
        </w:rPr>
        <w:t>, Class 2</w:t>
      </w:r>
      <w:r>
        <w:t xml:space="preserve"> nebo </w:t>
      </w:r>
      <w:r>
        <w:rPr>
          <w:b/>
        </w:rPr>
        <w:t>Wi-Fi</w:t>
      </w:r>
      <w:r>
        <w:t xml:space="preserve"> modul, pracující v </w:t>
      </w:r>
      <w:proofErr w:type="gramStart"/>
      <w:r>
        <w:t xml:space="preserve">pásmu  </w:t>
      </w:r>
      <w:r>
        <w:rPr>
          <w:b/>
        </w:rPr>
        <w:t>802.11</w:t>
      </w:r>
      <w:proofErr w:type="gramEnd"/>
      <w:r>
        <w:rPr>
          <w:b/>
        </w:rPr>
        <w:t xml:space="preserve"> b/g/n</w:t>
      </w:r>
      <w:r>
        <w:t xml:space="preserve">, v rozsahu </w:t>
      </w:r>
      <w:r>
        <w:rPr>
          <w:b/>
        </w:rPr>
        <w:t>2.4G ~ 2.5G</w:t>
      </w:r>
      <w:r>
        <w:t xml:space="preserve"> (2400 ~ 2483.5GHz).</w:t>
      </w:r>
      <w:r w:rsidR="00090854">
        <w:t xml:space="preserve"> Provozní údaje v tabulkách a grafech v aplikaci AQ3 eMonitoring jsou </w:t>
      </w:r>
      <w:r w:rsidR="00090854">
        <w:lastRenderedPageBreak/>
        <w:t>orientační, jelikož  z důvodu možné dočasné ztráty signálu a  průměrování dat v čase se nejedná vždy o  zcela aktuální hodnoty a dále dochází  k toleranci  při měření ze senzorů o +/- 3 %.</w:t>
      </w:r>
    </w:p>
    <w:p w:rsidR="00287B1D" w:rsidRDefault="00287B1D">
      <w:pPr>
        <w:spacing w:after="0"/>
        <w:ind w:left="-567" w:right="284" w:hanging="284"/>
        <w:jc w:val="both"/>
      </w:pPr>
    </w:p>
    <w:p w:rsidR="00287B1D" w:rsidRDefault="00BB6CB9">
      <w:pPr>
        <w:spacing w:after="0"/>
        <w:ind w:left="-567" w:right="284" w:hanging="284"/>
        <w:jc w:val="both"/>
      </w:pPr>
      <w:r>
        <w:t xml:space="preserve">       </w:t>
      </w:r>
      <w:r>
        <w:rPr>
          <w:noProof/>
          <w:lang w:eastAsia="cs-CZ"/>
        </w:rPr>
        <w:drawing>
          <wp:inline distT="0" distB="0" distL="0" distR="0">
            <wp:extent cx="1122045" cy="1324610"/>
            <wp:effectExtent l="0" t="0" r="0" b="0"/>
            <wp:docPr id="16" name="Obrázek 54" descr="C:\Users\VTI\AppData\Local\Microsoft\Windows\INetCache\Content.Outlook\5079RFC7\Quectel M95 - K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54" descr="C:\Users\VTI\AppData\Local\Microsoft\Windows\INetCache\Content.Outlook\5079RFC7\Quectel M95 - KM1.jpg"/>
                    <pic:cNvPicPr>
                      <a:picLocks noChangeAspect="1" noChangeArrowheads="1"/>
                    </pic:cNvPicPr>
                  </pic:nvPicPr>
                  <pic:blipFill>
                    <a:blip r:embed="rId37"/>
                    <a:stretch>
                      <a:fillRect/>
                    </a:stretch>
                  </pic:blipFill>
                  <pic:spPr bwMode="auto">
                    <a:xfrm>
                      <a:off x="0" y="0"/>
                      <a:ext cx="1122045" cy="1324610"/>
                    </a:xfrm>
                    <a:prstGeom prst="rect">
                      <a:avLst/>
                    </a:prstGeom>
                  </pic:spPr>
                </pic:pic>
              </a:graphicData>
            </a:graphic>
          </wp:inline>
        </w:drawing>
      </w:r>
      <w:r>
        <w:t xml:space="preserve">                  </w:t>
      </w:r>
      <w:r>
        <w:rPr>
          <w:lang w:eastAsia="cs-CZ"/>
        </w:rPr>
        <w:t xml:space="preserve"> </w:t>
      </w:r>
      <w:r>
        <w:rPr>
          <w:noProof/>
          <w:lang w:eastAsia="cs-CZ"/>
        </w:rPr>
        <w:drawing>
          <wp:inline distT="0" distB="0" distL="0" distR="0">
            <wp:extent cx="842645" cy="1270635"/>
            <wp:effectExtent l="0" t="0" r="0" b="0"/>
            <wp:docPr id="17" name="Obrázek 93" descr="C:\Users\VTI\AppData\Local\Microsoft\Windows\INetCache\Content.Outlook\5079RFC7\eSIM - K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93" descr="C:\Users\VTI\AppData\Local\Microsoft\Windows\INetCache\Content.Outlook\5079RFC7\eSIM - KM1.jpg"/>
                    <pic:cNvPicPr>
                      <a:picLocks noChangeAspect="1" noChangeArrowheads="1"/>
                    </pic:cNvPicPr>
                  </pic:nvPicPr>
                  <pic:blipFill>
                    <a:blip r:embed="rId38"/>
                    <a:stretch>
                      <a:fillRect/>
                    </a:stretch>
                  </pic:blipFill>
                  <pic:spPr bwMode="auto">
                    <a:xfrm>
                      <a:off x="0" y="0"/>
                      <a:ext cx="842645" cy="1270635"/>
                    </a:xfrm>
                    <a:prstGeom prst="rect">
                      <a:avLst/>
                    </a:prstGeom>
                  </pic:spPr>
                </pic:pic>
              </a:graphicData>
            </a:graphic>
          </wp:inline>
        </w:drawing>
      </w:r>
      <w:r>
        <w:rPr>
          <w:lang w:eastAsia="cs-CZ"/>
        </w:rPr>
        <w:t xml:space="preserve">                   </w:t>
      </w:r>
      <w:r>
        <w:rPr>
          <w:noProof/>
          <w:lang w:eastAsia="cs-CZ"/>
        </w:rPr>
        <mc:AlternateContent>
          <mc:Choice Requires="wps">
            <w:drawing>
              <wp:inline distT="0" distB="0" distL="0" distR="0" wp14:anchorId="6412C7A5">
                <wp:extent cx="1264285" cy="735965"/>
                <wp:effectExtent l="0" t="2540" r="0" b="0"/>
                <wp:docPr id="18" name="Picture 19" descr="C:\Users\VTI\AppData\Local\Microsoft\Windows\INetCache\Content.Outlook\5079RFC7\Wi-Fi modul - KM1.jpg"/>
                <wp:cNvGraphicFramePr/>
                <a:graphic xmlns:a="http://schemas.openxmlformats.org/drawingml/2006/main">
                  <a:graphicData uri="http://schemas.openxmlformats.org/drawingml/2006/picture">
                    <pic:pic xmlns:pic="http://schemas.openxmlformats.org/drawingml/2006/picture">
                      <pic:nvPicPr>
                        <pic:cNvPr id="1" name="Picture 19" descr="C:\Users\VTI\AppData\Local\Microsoft\Windows\INetCache\Content.Outlook\5079RFC7\Wi-Fi modul - KM1.jpg"/>
                        <pic:cNvPicPr/>
                      </pic:nvPicPr>
                      <pic:blipFill>
                        <a:blip r:embed="rId39"/>
                        <a:stretch/>
                      </pic:blipFill>
                      <pic:spPr>
                        <a:xfrm rot="16200000">
                          <a:off x="0" y="0"/>
                          <a:ext cx="1263600" cy="735480"/>
                        </a:xfrm>
                        <a:prstGeom prst="rect">
                          <a:avLst/>
                        </a:prstGeom>
                        <a:ln>
                          <a:noFill/>
                        </a:ln>
                      </pic:spPr>
                    </pic:pic>
                  </a:graphicData>
                </a:graphic>
              </wp:inline>
            </w:drawing>
          </mc:Choice>
          <mc:Fallback>
            <w:pict>
              <v:shape id="shape_0" ID="Picture 19" stroked="f" style="position:absolute;margin-left:-20.75pt;margin-top:-78.75pt;width:99.45pt;height:57.85pt;rotation:270;mso-position-vertical:top" wp14:anchorId="6412C7A5" type="shapetype_75">
                <v:imagedata r:id="rId40" o:detectmouseclick="t"/>
                <w10:wrap type="none"/>
                <v:stroke color="#3465a4" joinstyle="round" endcap="flat"/>
              </v:shape>
            </w:pict>
          </mc:Fallback>
        </mc:AlternateContent>
      </w:r>
      <w:r>
        <w:t xml:space="preserve">                   </w:t>
      </w:r>
      <w:r>
        <w:rPr>
          <w:noProof/>
          <w:lang w:eastAsia="cs-CZ"/>
        </w:rPr>
        <mc:AlternateContent>
          <mc:Choice Requires="wps">
            <w:drawing>
              <wp:inline distT="0" distB="0" distL="0" distR="0" wp14:anchorId="76A8152B">
                <wp:extent cx="1330960" cy="570230"/>
                <wp:effectExtent l="0" t="953" r="2858" b="2857"/>
                <wp:docPr id="19" name="Picture 20" descr="C:\Users\VTI\AppData\Local\Microsoft\Windows\INetCache\Content.Outlook\5079RFC7\Bluetooth modul 1 - KM1.jpg"/>
                <wp:cNvGraphicFramePr/>
                <a:graphic xmlns:a="http://schemas.openxmlformats.org/drawingml/2006/main">
                  <a:graphicData uri="http://schemas.openxmlformats.org/drawingml/2006/picture">
                    <pic:pic xmlns:pic="http://schemas.openxmlformats.org/drawingml/2006/picture">
                      <pic:nvPicPr>
                        <pic:cNvPr id="2" name="Picture 20" descr="C:\Users\VTI\AppData\Local\Microsoft\Windows\INetCache\Content.Outlook\5079RFC7\Bluetooth modul 1 - KM1.jpg"/>
                        <pic:cNvPicPr/>
                      </pic:nvPicPr>
                      <pic:blipFill>
                        <a:blip r:embed="rId41"/>
                        <a:stretch/>
                      </pic:blipFill>
                      <pic:spPr>
                        <a:xfrm rot="16200000" flipH="1">
                          <a:off x="0" y="0"/>
                          <a:ext cx="1330200" cy="569520"/>
                        </a:xfrm>
                        <a:prstGeom prst="rect">
                          <a:avLst/>
                        </a:prstGeom>
                        <a:ln>
                          <a:noFill/>
                        </a:ln>
                      </pic:spPr>
                    </pic:pic>
                  </a:graphicData>
                </a:graphic>
              </wp:inline>
            </w:drawing>
          </mc:Choice>
          <mc:Fallback>
            <w:pict>
              <v:shape id="shape_0" ID="Picture 20" stroked="f" style="position:absolute;margin-left:-29.9pt;margin-top:-74.85pt;width:104.7pt;height:44.8pt;rotation:270;mso-position-vertical:top" wp14:anchorId="76A8152B" type="shapetype_75">
                <v:imagedata r:id="rId42" o:detectmouseclick="t"/>
                <w10:wrap type="none"/>
                <v:stroke color="#3465a4" joinstyle="round" endcap="flat"/>
              </v:shape>
            </w:pict>
          </mc:Fallback>
        </mc:AlternateContent>
      </w:r>
    </w:p>
    <w:p w:rsidR="00287B1D" w:rsidRDefault="00BB6CB9">
      <w:pPr>
        <w:spacing w:after="0"/>
        <w:ind w:left="-567" w:right="284" w:hanging="284"/>
        <w:jc w:val="both"/>
        <w:rPr>
          <w:sz w:val="14"/>
          <w:szCs w:val="14"/>
        </w:rPr>
      </w:pPr>
      <w:r>
        <w:rPr>
          <w:sz w:val="14"/>
          <w:szCs w:val="14"/>
        </w:rPr>
        <w:t xml:space="preserve">       </w:t>
      </w:r>
      <w:proofErr w:type="gramStart"/>
      <w:r>
        <w:rPr>
          <w:sz w:val="14"/>
          <w:szCs w:val="14"/>
        </w:rPr>
        <w:t>Obr.</w:t>
      </w:r>
      <w:r w:rsidR="00BB7A9C">
        <w:rPr>
          <w:sz w:val="14"/>
          <w:szCs w:val="14"/>
        </w:rPr>
        <w:t>12</w:t>
      </w:r>
      <w:proofErr w:type="gramEnd"/>
      <w:r w:rsidR="00BB7A9C">
        <w:rPr>
          <w:sz w:val="14"/>
          <w:szCs w:val="14"/>
        </w:rPr>
        <w:t xml:space="preserve"> GSM/GPRS  pro RDM_1     </w:t>
      </w:r>
      <w:r>
        <w:rPr>
          <w:sz w:val="14"/>
          <w:szCs w:val="14"/>
        </w:rPr>
        <w:t xml:space="preserve">     Obr. 13 eSIM T-mobile pro RDM_1 </w:t>
      </w:r>
      <w:r w:rsidR="00BB7A9C">
        <w:rPr>
          <w:sz w:val="14"/>
          <w:szCs w:val="14"/>
        </w:rPr>
        <w:t xml:space="preserve"> </w:t>
      </w:r>
      <w:r>
        <w:rPr>
          <w:sz w:val="14"/>
          <w:szCs w:val="14"/>
        </w:rPr>
        <w:t xml:space="preserve"> Obr.134 Wi-Fi modul  pro RDM_1  </w:t>
      </w:r>
      <w:r w:rsidR="00BB7A9C">
        <w:rPr>
          <w:sz w:val="14"/>
          <w:szCs w:val="14"/>
        </w:rPr>
        <w:t xml:space="preserve"> </w:t>
      </w:r>
      <w:r>
        <w:rPr>
          <w:sz w:val="14"/>
          <w:szCs w:val="14"/>
        </w:rPr>
        <w:t>Obr.15 Bt modul pro RDM_1</w:t>
      </w:r>
    </w:p>
    <w:p w:rsidR="00287B1D" w:rsidRDefault="00287B1D">
      <w:pPr>
        <w:spacing w:after="0"/>
        <w:ind w:left="-567" w:right="284" w:hanging="284"/>
        <w:jc w:val="both"/>
        <w:rPr>
          <w:sz w:val="14"/>
          <w:szCs w:val="14"/>
        </w:rPr>
      </w:pPr>
    </w:p>
    <w:p w:rsidR="00287B1D" w:rsidRDefault="00BB6CB9">
      <w:pPr>
        <w:spacing w:after="0"/>
        <w:ind w:left="-567" w:right="284"/>
        <w:jc w:val="both"/>
        <w:rPr>
          <w:rFonts w:cstheme="minorHAnsi"/>
        </w:rPr>
      </w:pPr>
      <w:r>
        <w:rPr>
          <w:rFonts w:cstheme="minorHAnsi"/>
          <w:b/>
          <w:color w:val="943634" w:themeColor="accent2" w:themeShade="BF"/>
        </w:rPr>
        <w:t>RDM_2b**</w:t>
      </w:r>
      <w:r>
        <w:rPr>
          <w:rFonts w:cstheme="minorHAnsi"/>
        </w:rPr>
        <w:t xml:space="preserve"> </w:t>
      </w:r>
      <w:r>
        <w:t xml:space="preserve">(Remote Diagnostic Maintenance) </w:t>
      </w:r>
      <w:r>
        <w:rPr>
          <w:rFonts w:cstheme="minorHAnsi"/>
        </w:rPr>
        <w:t xml:space="preserve">– vzdálená diagnostika a údržba </w:t>
      </w:r>
      <w:r>
        <w:rPr>
          <w:rFonts w:cstheme="minorHAnsi"/>
          <w:b/>
        </w:rPr>
        <w:t>H1a</w:t>
      </w:r>
      <w:r>
        <w:rPr>
          <w:rFonts w:cstheme="minorHAnsi"/>
        </w:rPr>
        <w:t xml:space="preserve"> ve verzi </w:t>
      </w:r>
      <w:r>
        <w:rPr>
          <w:rFonts w:cstheme="minorHAnsi"/>
          <w:b/>
        </w:rPr>
        <w:t>2b</w:t>
      </w:r>
      <w:r>
        <w:rPr>
          <w:rFonts w:cstheme="minorHAnsi"/>
        </w:rPr>
        <w:t xml:space="preserve">, </w:t>
      </w:r>
      <w:r>
        <w:t xml:space="preserve">umožňuje v oblasti </w:t>
      </w:r>
      <w:r>
        <w:rPr>
          <w:rFonts w:cstheme="minorHAnsi"/>
        </w:rPr>
        <w:t xml:space="preserve">příjmu </w:t>
      </w:r>
      <w:proofErr w:type="gramStart"/>
      <w:r>
        <w:rPr>
          <w:rFonts w:cstheme="minorHAnsi"/>
        </w:rPr>
        <w:t>signálu  od</w:t>
      </w:r>
      <w:proofErr w:type="gramEnd"/>
      <w:r>
        <w:rPr>
          <w:rFonts w:cstheme="minorHAnsi"/>
        </w:rPr>
        <w:t xml:space="preserve"> mobilního operátora (dle vložené SIM karty), </w:t>
      </w:r>
      <w:r>
        <w:t xml:space="preserve">po přihlášení přes </w:t>
      </w:r>
      <w:r>
        <w:rPr>
          <w:i/>
          <w:u w:val="single"/>
        </w:rPr>
        <w:t>unikátní jméno a heslo</w:t>
      </w:r>
      <w:r>
        <w:t xml:space="preserve"> na </w:t>
      </w:r>
      <w:hyperlink r:id="rId43">
        <w:r>
          <w:rPr>
            <w:rStyle w:val="Internetovodkaz"/>
          </w:rPr>
          <w:t>https://aq3monitoring.com</w:t>
        </w:r>
      </w:hyperlink>
      <w:r>
        <w:t xml:space="preserve"> v sekci </w:t>
      </w:r>
      <w:r>
        <w:rPr>
          <w:highlight w:val="yellow"/>
        </w:rPr>
        <w:t>AQ3-eMonitoring</w:t>
      </w:r>
      <w:r>
        <w:t>,</w:t>
      </w:r>
      <w:r>
        <w:rPr>
          <w:rFonts w:cstheme="minorHAnsi"/>
        </w:rPr>
        <w:t xml:space="preserve"> řízení technologie </w:t>
      </w:r>
      <w:r>
        <w:rPr>
          <w:rFonts w:cstheme="minorHAnsi"/>
          <w:b/>
        </w:rPr>
        <w:t>AQ3,</w:t>
      </w:r>
      <w:r>
        <w:rPr>
          <w:rFonts w:cstheme="minorHAnsi"/>
        </w:rPr>
        <w:t xml:space="preserve">  oboustrann</w:t>
      </w:r>
      <w:r w:rsidR="00E84026">
        <w:rPr>
          <w:rFonts w:cstheme="minorHAnsi"/>
        </w:rPr>
        <w:t>ý</w:t>
      </w:r>
      <w:r>
        <w:rPr>
          <w:rFonts w:cstheme="minorHAnsi"/>
        </w:rPr>
        <w:t xml:space="preserve"> přenos dat, </w:t>
      </w:r>
      <w:r>
        <w:rPr>
          <w:rFonts w:cstheme="minorHAnsi"/>
          <w:color w:val="FF0000"/>
        </w:rPr>
        <w:t>lokalizaci (IP</w:t>
      </w:r>
      <w:r w:rsidR="00C4231E">
        <w:rPr>
          <w:rFonts w:cstheme="minorHAnsi"/>
          <w:color w:val="FF0000"/>
        </w:rPr>
        <w:t xml:space="preserve"> LAN, WAN, MAC</w:t>
      </w:r>
      <w:r>
        <w:rPr>
          <w:rFonts w:cstheme="minorHAnsi"/>
          <w:color w:val="FF0000"/>
        </w:rPr>
        <w:t>), (satelitní (GNSS)</w:t>
      </w:r>
      <w:r>
        <w:rPr>
          <w:rFonts w:cstheme="minorHAnsi"/>
          <w:vertAlign w:val="superscript"/>
        </w:rPr>
        <w:t>S1)</w:t>
      </w:r>
      <w:r>
        <w:rPr>
          <w:rFonts w:cstheme="minorHAnsi"/>
        </w:rPr>
        <w:t xml:space="preserve">, </w:t>
      </w:r>
      <w:r w:rsidR="00E84026">
        <w:rPr>
          <w:rFonts w:cstheme="minorHAnsi"/>
        </w:rPr>
        <w:t xml:space="preserve">sledování </w:t>
      </w:r>
      <w:r w:rsidR="00FE0A2F">
        <w:rPr>
          <w:rFonts w:cstheme="minorHAnsi"/>
        </w:rPr>
        <w:t xml:space="preserve">síly signálu WiFi nebo GSM, </w:t>
      </w:r>
      <w:r>
        <w:rPr>
          <w:rFonts w:cstheme="minorHAnsi"/>
        </w:rPr>
        <w:t xml:space="preserve">dálkové zapínání a vypínání, </w:t>
      </w:r>
      <w:r w:rsidR="00C4231E">
        <w:rPr>
          <w:rFonts w:cstheme="minorHAnsi"/>
        </w:rPr>
        <w:t xml:space="preserve"> proplach, </w:t>
      </w:r>
      <w:r w:rsidR="00572CB0">
        <w:rPr>
          <w:rFonts w:cstheme="minorHAnsi"/>
        </w:rPr>
        <w:t>dodatečnou úpravu sterilizace, sledování provozního napětí, spotřeby  elektrické energie,</w:t>
      </w:r>
      <w:r w:rsidR="00FE0A2F">
        <w:rPr>
          <w:rFonts w:cstheme="minorHAnsi"/>
        </w:rPr>
        <w:t xml:space="preserve"> sledování životnosti jednotlivých komponent, </w:t>
      </w:r>
      <w:r w:rsidR="00E84026">
        <w:rPr>
          <w:rFonts w:cstheme="minorHAnsi"/>
        </w:rPr>
        <w:t xml:space="preserve">sledování </w:t>
      </w:r>
      <w:r w:rsidR="00FE0A2F">
        <w:rPr>
          <w:rFonts w:cstheme="minorHAnsi"/>
        </w:rPr>
        <w:t>teploty, tlaku, průtoku,</w:t>
      </w:r>
      <w:r w:rsidR="00E84026">
        <w:rPr>
          <w:rFonts w:cstheme="minorHAnsi"/>
        </w:rPr>
        <w:t xml:space="preserve"> optimalizaci výroby</w:t>
      </w:r>
      <w:r w:rsidR="007D48C1">
        <w:rPr>
          <w:rFonts w:cstheme="minorHAnsi"/>
        </w:rPr>
        <w:t>,</w:t>
      </w:r>
      <w:r w:rsidR="00572CB0">
        <w:rPr>
          <w:rFonts w:cstheme="minorHAnsi"/>
        </w:rPr>
        <w:t xml:space="preserve"> </w:t>
      </w:r>
      <w:r w:rsidR="007D48C1">
        <w:rPr>
          <w:rFonts w:cstheme="minorHAnsi"/>
        </w:rPr>
        <w:t>úpravu</w:t>
      </w:r>
      <w:r>
        <w:rPr>
          <w:rFonts w:cstheme="minorHAnsi"/>
        </w:rPr>
        <w:t xml:space="preserve"> </w:t>
      </w:r>
      <w:r w:rsidR="000335A7">
        <w:rPr>
          <w:rFonts w:cstheme="minorHAnsi"/>
        </w:rPr>
        <w:t xml:space="preserve">obecných </w:t>
      </w:r>
      <w:r w:rsidR="007D48C1">
        <w:rPr>
          <w:rFonts w:cstheme="minorHAnsi"/>
        </w:rPr>
        <w:t>parametrů, automatický</w:t>
      </w:r>
      <w:r>
        <w:rPr>
          <w:rFonts w:cstheme="minorHAnsi"/>
        </w:rPr>
        <w:t xml:space="preserve"> upgrade </w:t>
      </w:r>
      <w:r>
        <w:rPr>
          <w:rFonts w:cstheme="minorHAnsi"/>
          <w:b/>
        </w:rPr>
        <w:t>FM, SW</w:t>
      </w:r>
      <w:r>
        <w:rPr>
          <w:rFonts w:cstheme="minorHAnsi"/>
        </w:rPr>
        <w:t xml:space="preserve">. Viz </w:t>
      </w:r>
      <w:r>
        <w:rPr>
          <w:rFonts w:cstheme="minorHAnsi"/>
          <w:b/>
        </w:rPr>
        <w:t>VORP</w:t>
      </w:r>
      <w:r>
        <w:rPr>
          <w:rFonts w:cstheme="minorHAnsi"/>
        </w:rPr>
        <w:t xml:space="preserve"> čl. 3, ost. 9. </w:t>
      </w:r>
      <w:r>
        <w:rPr>
          <w:rFonts w:cstheme="minorHAnsi"/>
          <w:b/>
        </w:rPr>
        <w:t>RDM_2b</w:t>
      </w:r>
      <w:r>
        <w:rPr>
          <w:rFonts w:cstheme="minorHAnsi"/>
        </w:rPr>
        <w:t xml:space="preserve"> má integrovaný záložní zdroj, který zaručuje udržení </w:t>
      </w:r>
      <w:r>
        <w:rPr>
          <w:rFonts w:cstheme="minorHAnsi"/>
          <w:b/>
        </w:rPr>
        <w:t>FW</w:t>
      </w:r>
      <w:r>
        <w:rPr>
          <w:rFonts w:cstheme="minorHAnsi"/>
        </w:rPr>
        <w:t xml:space="preserve"> programu a načtených hodnot i při dlouhodobějším výpadku napájecího napětí. </w:t>
      </w:r>
      <w:r w:rsidR="007D48C1">
        <w:t xml:space="preserve">Provozní údaje v tabulkách a grafech v aplikaci AQ3 eMonitoring jsou orientační, jelikož  z důvodu možné dočasné ztráty signálu a  průměrování dat v čase se nejedná vždy o  zcela aktuální hodnoty a dále dochází  k toleranci  při měření ze senzorů o +/- 3 %. </w:t>
      </w:r>
      <w:r>
        <w:rPr>
          <w:rFonts w:cstheme="minorHAnsi"/>
          <w:b/>
        </w:rPr>
        <w:t>RDM_2b</w:t>
      </w:r>
      <w:r>
        <w:rPr>
          <w:rFonts w:cstheme="minorHAnsi"/>
        </w:rPr>
        <w:t xml:space="preserve"> má integrovaný </w:t>
      </w:r>
      <w:r>
        <w:rPr>
          <w:rFonts w:cstheme="minorHAnsi"/>
          <w:b/>
        </w:rPr>
        <w:t>IoT</w:t>
      </w:r>
      <w:r>
        <w:rPr>
          <w:rFonts w:cstheme="minorHAnsi"/>
        </w:rPr>
        <w:t xml:space="preserve"> </w:t>
      </w:r>
      <w:r>
        <w:rPr>
          <w:rFonts w:ascii="Arial" w:hAnsi="Arial" w:cs="Arial"/>
          <w:lang w:bidi="he-IL"/>
        </w:rPr>
        <w:t>–</w:t>
      </w:r>
      <w:r>
        <w:rPr>
          <w:rFonts w:cstheme="minorHAnsi"/>
        </w:rPr>
        <w:t xml:space="preserve"> </w:t>
      </w:r>
      <w:r>
        <w:rPr>
          <w:rFonts w:cstheme="minorHAnsi"/>
          <w:b/>
        </w:rPr>
        <w:t xml:space="preserve">Bt </w:t>
      </w:r>
      <w:r>
        <w:rPr>
          <w:rFonts w:cstheme="minorHAnsi"/>
        </w:rPr>
        <w:t>a</w:t>
      </w:r>
      <w:r>
        <w:rPr>
          <w:rFonts w:cstheme="minorHAnsi"/>
          <w:b/>
        </w:rPr>
        <w:t xml:space="preserve"> WiFi</w:t>
      </w:r>
      <w:r>
        <w:rPr>
          <w:rFonts w:cstheme="minorHAnsi"/>
        </w:rPr>
        <w:t xml:space="preserve"> modul, který pracuje s protokolem </w:t>
      </w:r>
      <w:r w:rsidR="009C104D">
        <w:rPr>
          <w:rFonts w:cstheme="minorHAnsi"/>
          <w:b/>
        </w:rPr>
        <w:t>802.11b/g/n</w:t>
      </w:r>
      <w:r>
        <w:rPr>
          <w:rFonts w:cstheme="minorHAnsi"/>
        </w:rPr>
        <w:t xml:space="preserve">, v pásmech </w:t>
      </w:r>
      <w:proofErr w:type="gramStart"/>
      <w:r>
        <w:rPr>
          <w:rFonts w:cstheme="minorHAnsi"/>
          <w:b/>
        </w:rPr>
        <w:t>2.412...2.484</w:t>
      </w:r>
      <w:proofErr w:type="gramEnd"/>
      <w:r>
        <w:rPr>
          <w:rFonts w:cstheme="minorHAnsi"/>
        </w:rPr>
        <w:t xml:space="preserve"> GHz. </w:t>
      </w:r>
      <w:r>
        <w:rPr>
          <w:rFonts w:cstheme="minorHAnsi"/>
          <w:b/>
        </w:rPr>
        <w:t>RDM_2b</w:t>
      </w:r>
      <w:r>
        <w:rPr>
          <w:rFonts w:cstheme="minorHAnsi"/>
        </w:rPr>
        <w:t xml:space="preserve"> je osazen kompaktním </w:t>
      </w:r>
      <w:r>
        <w:rPr>
          <w:rFonts w:cstheme="minorHAnsi"/>
          <w:b/>
        </w:rPr>
        <w:t>LPWA/GSM</w:t>
      </w:r>
      <w:r>
        <w:rPr>
          <w:rFonts w:cstheme="minorHAnsi"/>
        </w:rPr>
        <w:t xml:space="preserve"> </w:t>
      </w:r>
      <w:r>
        <w:rPr>
          <w:rFonts w:cstheme="minorHAnsi"/>
          <w:color w:val="393939"/>
          <w:shd w:val="clear" w:color="auto" w:fill="FFFFFF"/>
        </w:rPr>
        <w:t xml:space="preserve">modulem s duálním režimem </w:t>
      </w:r>
      <w:r>
        <w:rPr>
          <w:rFonts w:cstheme="minorHAnsi"/>
          <w:b/>
          <w:shd w:val="clear" w:color="auto" w:fill="FFFFFF"/>
        </w:rPr>
        <w:t xml:space="preserve">BC92 </w:t>
      </w:r>
      <w:r>
        <w:rPr>
          <w:rFonts w:cstheme="minorHAnsi"/>
          <w:shd w:val="clear" w:color="auto" w:fill="FFFFFF"/>
        </w:rPr>
        <w:t>(</w:t>
      </w:r>
      <w:r>
        <w:rPr>
          <w:rFonts w:cstheme="minorHAnsi"/>
          <w:b/>
          <w:shd w:val="clear" w:color="auto" w:fill="FFFFFF"/>
        </w:rPr>
        <w:t>BG95</w:t>
      </w:r>
      <w:r>
        <w:rPr>
          <w:rFonts w:cstheme="minorHAnsi"/>
          <w:color w:val="393939"/>
          <w:shd w:val="clear" w:color="auto" w:fill="FFFFFF"/>
        </w:rPr>
        <w:t xml:space="preserve">), </w:t>
      </w:r>
      <w:r>
        <w:rPr>
          <w:rFonts w:cs="Arial"/>
          <w:i/>
          <w:u w:val="single"/>
          <w:shd w:val="clear" w:color="auto" w:fill="FFFFFF"/>
        </w:rPr>
        <w:t xml:space="preserve">kompatibilní </w:t>
      </w:r>
      <w:r>
        <w:rPr>
          <w:rFonts w:cs="Arial"/>
          <w:shd w:val="clear" w:color="auto" w:fill="FFFFFF"/>
        </w:rPr>
        <w:t xml:space="preserve">s GSM/GPRS modulem </w:t>
      </w:r>
      <w:r>
        <w:rPr>
          <w:rFonts w:cs="Arial"/>
          <w:i/>
          <w:u w:val="single"/>
          <w:shd w:val="clear" w:color="auto" w:fill="FFFFFF"/>
        </w:rPr>
        <w:t>M95</w:t>
      </w:r>
      <w:r>
        <w:rPr>
          <w:rFonts w:cs="Arial"/>
          <w:color w:val="393939"/>
          <w:shd w:val="clear" w:color="auto" w:fill="FFFFFF"/>
        </w:rPr>
        <w:t>,</w:t>
      </w:r>
      <w:r>
        <w:rPr>
          <w:rFonts w:ascii="Arial" w:hAnsi="Arial" w:cs="Arial"/>
          <w:color w:val="393939"/>
          <w:sz w:val="21"/>
          <w:szCs w:val="21"/>
          <w:shd w:val="clear" w:color="auto" w:fill="FFFFFF"/>
        </w:rPr>
        <w:t xml:space="preserve"> </w:t>
      </w:r>
      <w:r>
        <w:rPr>
          <w:rFonts w:cstheme="minorHAnsi"/>
          <w:color w:val="393939"/>
          <w:shd w:val="clear" w:color="auto" w:fill="FFFFFF"/>
        </w:rPr>
        <w:t xml:space="preserve">který podporuje zpětnou kompatibilitu mezi </w:t>
      </w:r>
      <w:r>
        <w:rPr>
          <w:rFonts w:cstheme="minorHAnsi"/>
          <w:b/>
          <w:color w:val="393939"/>
          <w:shd w:val="clear" w:color="auto" w:fill="FFFFFF"/>
        </w:rPr>
        <w:t xml:space="preserve">GSM </w:t>
      </w:r>
      <w:r>
        <w:rPr>
          <w:rFonts w:cstheme="minorHAnsi"/>
          <w:color w:val="393939"/>
          <w:shd w:val="clear" w:color="auto" w:fill="FFFFFF"/>
        </w:rPr>
        <w:t xml:space="preserve">a </w:t>
      </w:r>
      <w:r>
        <w:rPr>
          <w:rFonts w:cstheme="minorHAnsi"/>
          <w:b/>
          <w:color w:val="393939"/>
          <w:shd w:val="clear" w:color="auto" w:fill="FFFFFF"/>
        </w:rPr>
        <w:t>NB-IoT</w:t>
      </w:r>
      <w:r>
        <w:rPr>
          <w:rFonts w:cstheme="minorHAnsi"/>
          <w:color w:val="393939"/>
          <w:shd w:val="clear" w:color="auto" w:fill="FFFFFF"/>
        </w:rPr>
        <w:t xml:space="preserve">, zajišťuje využití síťového pokrytí obou technologií a </w:t>
      </w:r>
      <w:r>
        <w:rPr>
          <w:rFonts w:cstheme="minorHAnsi"/>
        </w:rPr>
        <w:t xml:space="preserve">pracuje v pásmech </w:t>
      </w:r>
      <w:r>
        <w:rPr>
          <w:rFonts w:cstheme="minorHAnsi"/>
          <w:b/>
        </w:rPr>
        <w:t>GSM/UMTS/LTE</w:t>
      </w:r>
      <w:r>
        <w:rPr>
          <w:rFonts w:cstheme="minorHAnsi"/>
          <w:vertAlign w:val="superscript"/>
        </w:rPr>
        <w:t>y)</w:t>
      </w:r>
      <w:r>
        <w:rPr>
          <w:rFonts w:cstheme="minorHAnsi"/>
          <w:b/>
        </w:rPr>
        <w:t xml:space="preserve">/5G/GNSS  </w:t>
      </w:r>
      <w:r>
        <w:rPr>
          <w:rFonts w:cstheme="minorHAnsi"/>
        </w:rPr>
        <w:t>[</w:t>
      </w:r>
      <w:r>
        <w:rPr>
          <w:color w:val="333333"/>
          <w:shd w:val="clear" w:color="auto" w:fill="FFFFFF"/>
        </w:rPr>
        <w:t xml:space="preserve">LTE Cat </w:t>
      </w:r>
      <w:r>
        <w:rPr>
          <w:color w:val="FF0000"/>
          <w:shd w:val="clear" w:color="auto" w:fill="FFFFFF"/>
        </w:rPr>
        <w:t>NB1</w:t>
      </w:r>
      <w:r>
        <w:rPr>
          <w:color w:val="333333"/>
          <w:shd w:val="clear" w:color="auto" w:fill="FFFFFF"/>
        </w:rPr>
        <w:t xml:space="preserve">; LTE Cat </w:t>
      </w:r>
      <w:r>
        <w:rPr>
          <w:color w:val="FF0000"/>
          <w:shd w:val="clear" w:color="auto" w:fill="FFFFFF"/>
        </w:rPr>
        <w:t>NB2</w:t>
      </w:r>
      <w:r>
        <w:rPr>
          <w:color w:val="333333"/>
          <w:shd w:val="clear" w:color="auto" w:fill="FFFFFF"/>
        </w:rPr>
        <w:t xml:space="preserve">/B3/B5/B8/B20/B28; LTE </w:t>
      </w:r>
      <w:proofErr w:type="gramStart"/>
      <w:r>
        <w:rPr>
          <w:color w:val="FF0000"/>
          <w:shd w:val="clear" w:color="auto" w:fill="FFFFFF"/>
        </w:rPr>
        <w:t>NB</w:t>
      </w:r>
      <w:r>
        <w:rPr>
          <w:color w:val="333333"/>
          <w:shd w:val="clear" w:color="auto" w:fill="FFFFFF"/>
        </w:rPr>
        <w:t>]</w:t>
      </w:r>
      <w:r>
        <w:rPr>
          <w:rFonts w:cstheme="minorHAnsi"/>
          <w:vertAlign w:val="superscript"/>
        </w:rPr>
        <w:t>y)</w:t>
      </w:r>
      <w:r>
        <w:rPr>
          <w:rFonts w:cstheme="minorHAnsi"/>
        </w:rPr>
        <w:t xml:space="preserve"> (BG95</w:t>
      </w:r>
      <w:proofErr w:type="gramEnd"/>
      <w:r>
        <w:rPr>
          <w:rFonts w:cstheme="minorHAnsi"/>
        </w:rPr>
        <w:t>)</w:t>
      </w:r>
      <w:r>
        <w:rPr>
          <w:rFonts w:cstheme="minorHAnsi"/>
          <w:vertAlign w:val="superscript"/>
        </w:rPr>
        <w:t>S1)</w:t>
      </w:r>
    </w:p>
    <w:p w:rsidR="00287B1D" w:rsidRDefault="00287B1D">
      <w:pPr>
        <w:spacing w:after="0"/>
        <w:ind w:left="-567" w:right="284"/>
        <w:jc w:val="both"/>
        <w:rPr>
          <w:rFonts w:cstheme="minorHAnsi"/>
          <w:b/>
        </w:rPr>
      </w:pPr>
    </w:p>
    <w:p w:rsidR="00287B1D" w:rsidRDefault="00BB6CB9">
      <w:pPr>
        <w:spacing w:after="0"/>
        <w:ind w:left="-426" w:right="284" w:hanging="141"/>
        <w:jc w:val="both"/>
        <w:rPr>
          <w:rFonts w:cstheme="minorHAnsi"/>
          <w:b/>
        </w:rPr>
      </w:pPr>
      <w:r>
        <w:rPr>
          <w:noProof/>
          <w:lang w:eastAsia="cs-CZ"/>
        </w:rPr>
        <w:drawing>
          <wp:inline distT="0" distB="0" distL="0" distR="0">
            <wp:extent cx="1316990" cy="1543685"/>
            <wp:effectExtent l="0" t="0" r="0" b="0"/>
            <wp:docPr id="20"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78"/>
                    <pic:cNvPicPr>
                      <a:picLocks noChangeAspect="1" noChangeArrowheads="1"/>
                    </pic:cNvPicPr>
                  </pic:nvPicPr>
                  <pic:blipFill>
                    <a:blip r:embed="rId44"/>
                    <a:stretch>
                      <a:fillRect/>
                    </a:stretch>
                  </pic:blipFill>
                  <pic:spPr bwMode="auto">
                    <a:xfrm>
                      <a:off x="0" y="0"/>
                      <a:ext cx="1316990" cy="1543685"/>
                    </a:xfrm>
                    <a:prstGeom prst="rect">
                      <a:avLst/>
                    </a:prstGeom>
                  </pic:spPr>
                </pic:pic>
              </a:graphicData>
            </a:graphic>
          </wp:inline>
        </w:drawing>
      </w:r>
      <w:r>
        <w:rPr>
          <w:rFonts w:cstheme="minorHAnsi"/>
          <w:b/>
        </w:rPr>
        <w:t xml:space="preserve">      </w:t>
      </w:r>
      <w:r>
        <w:rPr>
          <w:noProof/>
          <w:lang w:eastAsia="cs-CZ"/>
        </w:rPr>
        <w:drawing>
          <wp:inline distT="0" distB="0" distL="0" distR="0">
            <wp:extent cx="1348740" cy="1561465"/>
            <wp:effectExtent l="0" t="0" r="0" b="0"/>
            <wp:docPr id="21"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84"/>
                    <pic:cNvPicPr>
                      <a:picLocks noChangeAspect="1" noChangeArrowheads="1"/>
                    </pic:cNvPicPr>
                  </pic:nvPicPr>
                  <pic:blipFill>
                    <a:blip r:embed="rId45"/>
                    <a:stretch>
                      <a:fillRect/>
                    </a:stretch>
                  </pic:blipFill>
                  <pic:spPr bwMode="auto">
                    <a:xfrm>
                      <a:off x="0" y="0"/>
                      <a:ext cx="1348740" cy="1561465"/>
                    </a:xfrm>
                    <a:prstGeom prst="rect">
                      <a:avLst/>
                    </a:prstGeom>
                  </pic:spPr>
                </pic:pic>
              </a:graphicData>
            </a:graphic>
          </wp:inline>
        </w:drawing>
      </w:r>
      <w:r>
        <w:rPr>
          <w:rFonts w:cstheme="minorHAnsi"/>
          <w:b/>
        </w:rPr>
        <w:t xml:space="preserve">   </w:t>
      </w:r>
      <w:r>
        <w:rPr>
          <w:noProof/>
          <w:lang w:eastAsia="cs-CZ"/>
        </w:rPr>
        <w:drawing>
          <wp:inline distT="0" distB="0" distL="0" distR="0">
            <wp:extent cx="1550035" cy="1550035"/>
            <wp:effectExtent l="0" t="0" r="0" b="0"/>
            <wp:docPr id="22" name="Obrázek 86" descr="ESP32-WROOM-32E(M113EH3200PH3Q0) Espressif Systems | Mouser Česká Repub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86" descr="ESP32-WROOM-32E(M113EH3200PH3Q0) Espressif Systems | Mouser Česká Republika"/>
                    <pic:cNvPicPr>
                      <a:picLocks noChangeAspect="1" noChangeArrowheads="1"/>
                    </pic:cNvPicPr>
                  </pic:nvPicPr>
                  <pic:blipFill>
                    <a:blip r:embed="rId46"/>
                    <a:stretch>
                      <a:fillRect/>
                    </a:stretch>
                  </pic:blipFill>
                  <pic:spPr bwMode="auto">
                    <a:xfrm>
                      <a:off x="0" y="0"/>
                      <a:ext cx="1550035" cy="1550035"/>
                    </a:xfrm>
                    <a:prstGeom prst="rect">
                      <a:avLst/>
                    </a:prstGeom>
                  </pic:spPr>
                </pic:pic>
              </a:graphicData>
            </a:graphic>
          </wp:inline>
        </w:drawing>
      </w:r>
      <w:r>
        <w:rPr>
          <w:rFonts w:cstheme="minorHAnsi"/>
          <w:b/>
        </w:rPr>
        <w:t xml:space="preserve">      </w:t>
      </w:r>
      <w:r>
        <w:rPr>
          <w:noProof/>
          <w:lang w:eastAsia="cs-CZ"/>
        </w:rPr>
        <w:drawing>
          <wp:inline distT="0" distB="0" distL="0" distR="0">
            <wp:extent cx="1342390" cy="1515745"/>
            <wp:effectExtent l="0" t="0" r="0" b="0"/>
            <wp:docPr id="23"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66"/>
                    <pic:cNvPicPr>
                      <a:picLocks noChangeAspect="1" noChangeArrowheads="1"/>
                    </pic:cNvPicPr>
                  </pic:nvPicPr>
                  <pic:blipFill>
                    <a:blip r:embed="rId47"/>
                    <a:stretch>
                      <a:fillRect/>
                    </a:stretch>
                  </pic:blipFill>
                  <pic:spPr bwMode="auto">
                    <a:xfrm>
                      <a:off x="0" y="0"/>
                      <a:ext cx="1342390" cy="1515745"/>
                    </a:xfrm>
                    <a:prstGeom prst="rect">
                      <a:avLst/>
                    </a:prstGeom>
                  </pic:spPr>
                </pic:pic>
              </a:graphicData>
            </a:graphic>
          </wp:inline>
        </w:drawing>
      </w:r>
      <w:r>
        <w:rPr>
          <w:rFonts w:cstheme="minorHAnsi"/>
          <w:b/>
        </w:rPr>
        <w:t xml:space="preserve">        </w:t>
      </w:r>
    </w:p>
    <w:p w:rsidR="00287B1D" w:rsidRDefault="00287B1D">
      <w:pPr>
        <w:spacing w:after="0"/>
        <w:ind w:left="-426" w:right="284" w:hanging="141"/>
        <w:rPr>
          <w:rFonts w:cstheme="minorHAnsi"/>
          <w:sz w:val="14"/>
          <w:szCs w:val="14"/>
        </w:rPr>
      </w:pPr>
    </w:p>
    <w:p w:rsidR="00287B1D" w:rsidRDefault="00BB6CB9">
      <w:pPr>
        <w:spacing w:after="0"/>
        <w:ind w:left="-426" w:right="284" w:hanging="141"/>
        <w:rPr>
          <w:rFonts w:cstheme="minorHAnsi"/>
          <w:sz w:val="14"/>
          <w:szCs w:val="14"/>
        </w:rPr>
      </w:pPr>
      <w:r>
        <w:rPr>
          <w:rFonts w:cstheme="minorHAnsi"/>
          <w:sz w:val="14"/>
          <w:szCs w:val="14"/>
        </w:rPr>
        <w:lastRenderedPageBreak/>
        <w:t xml:space="preserve"> </w:t>
      </w:r>
      <w:proofErr w:type="gramStart"/>
      <w:r>
        <w:rPr>
          <w:rFonts w:cstheme="minorHAnsi"/>
          <w:sz w:val="14"/>
          <w:szCs w:val="14"/>
        </w:rPr>
        <w:t>Obr.16</w:t>
      </w:r>
      <w:proofErr w:type="gramEnd"/>
      <w:r>
        <w:rPr>
          <w:rFonts w:cstheme="minorHAnsi"/>
          <w:sz w:val="14"/>
          <w:szCs w:val="14"/>
        </w:rPr>
        <w:t xml:space="preserve"> RDM_2B                         Obr.17 RDM_2B s GNSS </w:t>
      </w:r>
      <w:r>
        <w:rPr>
          <w:rFonts w:cstheme="minorHAnsi"/>
          <w:sz w:val="14"/>
          <w:szCs w:val="14"/>
          <w:vertAlign w:val="superscript"/>
        </w:rPr>
        <w:t>s1)</w:t>
      </w:r>
      <w:r>
        <w:rPr>
          <w:rFonts w:cstheme="minorHAnsi"/>
          <w:sz w:val="14"/>
          <w:szCs w:val="14"/>
        </w:rPr>
        <w:t xml:space="preserve">             Obr.18 Wi-Fi a Bt modul RDM_2B    Obr.19 Lokalizace  pomocí IP/GNSS    </w:t>
      </w:r>
    </w:p>
    <w:p w:rsidR="00287B1D" w:rsidRDefault="00287B1D">
      <w:pPr>
        <w:spacing w:after="0"/>
        <w:ind w:left="-426" w:right="284" w:hanging="141"/>
        <w:rPr>
          <w:rFonts w:cstheme="minorHAnsi"/>
          <w:sz w:val="14"/>
          <w:szCs w:val="14"/>
          <w:vertAlign w:val="superscript"/>
        </w:rPr>
      </w:pPr>
    </w:p>
    <w:p w:rsidR="00287B1D" w:rsidRDefault="00BB6CB9">
      <w:pPr>
        <w:spacing w:after="0"/>
        <w:ind w:left="-426" w:right="284" w:hanging="141"/>
        <w:rPr>
          <w:rFonts w:cstheme="minorHAnsi"/>
          <w:sz w:val="14"/>
          <w:szCs w:val="14"/>
        </w:rPr>
      </w:pPr>
      <w:r>
        <w:rPr>
          <w:rFonts w:cstheme="minorHAnsi"/>
          <w:sz w:val="14"/>
          <w:szCs w:val="14"/>
          <w:vertAlign w:val="superscript"/>
        </w:rPr>
        <w:t>s1)</w:t>
      </w:r>
      <w:r>
        <w:rPr>
          <w:rFonts w:cstheme="minorHAnsi"/>
          <w:sz w:val="14"/>
          <w:szCs w:val="14"/>
        </w:rPr>
        <w:t xml:space="preserve"> dodává se po dohodě </w:t>
      </w:r>
      <w:proofErr w:type="gramStart"/>
      <w:r>
        <w:rPr>
          <w:rFonts w:cstheme="minorHAnsi"/>
          <w:sz w:val="14"/>
          <w:szCs w:val="14"/>
        </w:rPr>
        <w:t>na  objednávku</w:t>
      </w:r>
      <w:proofErr w:type="gramEnd"/>
      <w:r>
        <w:rPr>
          <w:rFonts w:cstheme="minorHAnsi"/>
          <w:sz w:val="14"/>
          <w:szCs w:val="14"/>
        </w:rPr>
        <w:t xml:space="preserve"> do vybraných destinací jen s RDM_2B</w:t>
      </w:r>
    </w:p>
    <w:p w:rsidR="00287B1D" w:rsidRDefault="00287B1D">
      <w:pPr>
        <w:spacing w:after="0"/>
        <w:ind w:left="-426" w:right="284" w:hanging="141"/>
        <w:rPr>
          <w:rFonts w:cstheme="minorHAnsi"/>
          <w:sz w:val="14"/>
          <w:szCs w:val="14"/>
        </w:rPr>
      </w:pPr>
    </w:p>
    <w:p w:rsidR="00287B1D" w:rsidRDefault="00BB6CB9">
      <w:pPr>
        <w:spacing w:after="0"/>
        <w:ind w:left="-426" w:right="284" w:hanging="141"/>
        <w:rPr>
          <w:rFonts w:cstheme="minorHAnsi"/>
        </w:rPr>
      </w:pPr>
      <w:r>
        <w:rPr>
          <w:rFonts w:cstheme="minorHAnsi"/>
          <w:b/>
          <w:u w:val="single"/>
        </w:rPr>
        <w:t>eSIM</w:t>
      </w:r>
      <w:r>
        <w:rPr>
          <w:rFonts w:cstheme="minorHAnsi"/>
          <w:b/>
        </w:rPr>
        <w:t xml:space="preserve"> </w:t>
      </w:r>
      <w:r>
        <w:rPr>
          <w:rFonts w:cstheme="minorHAnsi"/>
        </w:rPr>
        <w:t>– integrovaná karta u modelů 1 viz RDM_1, zařizuje výrobce</w:t>
      </w:r>
    </w:p>
    <w:p w:rsidR="00287B1D" w:rsidRDefault="00BB6CB9">
      <w:pPr>
        <w:spacing w:after="0"/>
        <w:ind w:left="-426" w:right="284" w:hanging="141"/>
        <w:rPr>
          <w:rFonts w:cstheme="minorHAnsi"/>
        </w:rPr>
      </w:pPr>
      <w:r>
        <w:rPr>
          <w:rFonts w:cstheme="minorHAnsi"/>
          <w:b/>
          <w:u w:val="single"/>
        </w:rPr>
        <w:t>SIM</w:t>
      </w:r>
      <w:r>
        <w:rPr>
          <w:rFonts w:cstheme="minorHAnsi"/>
          <w:b/>
        </w:rPr>
        <w:t xml:space="preserve"> </w:t>
      </w:r>
      <w:r>
        <w:rPr>
          <w:rFonts w:cstheme="minorHAnsi"/>
        </w:rPr>
        <w:t xml:space="preserve">- </w:t>
      </w:r>
      <w:r>
        <w:rPr>
          <w:rFonts w:cstheme="minorHAnsi"/>
          <w:b/>
        </w:rPr>
        <w:t xml:space="preserve">  </w:t>
      </w:r>
      <w:r>
        <w:rPr>
          <w:rFonts w:cstheme="minorHAnsi"/>
        </w:rPr>
        <w:t xml:space="preserve">vyjímatelná </w:t>
      </w:r>
      <w:proofErr w:type="gramStart"/>
      <w:r>
        <w:rPr>
          <w:rFonts w:cstheme="minorHAnsi"/>
        </w:rPr>
        <w:t>karta  u modelů</w:t>
      </w:r>
      <w:proofErr w:type="gramEnd"/>
      <w:r>
        <w:rPr>
          <w:rFonts w:cstheme="minorHAnsi"/>
        </w:rPr>
        <w:t xml:space="preserve"> 2 viz RDM_2B, zařizuje odběratel </w:t>
      </w:r>
    </w:p>
    <w:p w:rsidR="00287B1D" w:rsidRDefault="00287B1D">
      <w:pPr>
        <w:spacing w:after="0"/>
        <w:ind w:left="-426" w:right="284" w:hanging="141"/>
        <w:rPr>
          <w:rFonts w:cstheme="minorHAnsi"/>
          <w:sz w:val="14"/>
          <w:szCs w:val="14"/>
        </w:rPr>
      </w:pPr>
    </w:p>
    <w:p w:rsidR="00287B1D" w:rsidRDefault="00287B1D">
      <w:pPr>
        <w:spacing w:after="0"/>
        <w:ind w:left="-426" w:right="284" w:hanging="141"/>
        <w:rPr>
          <w:rFonts w:cstheme="minorHAnsi"/>
          <w:sz w:val="14"/>
          <w:szCs w:val="14"/>
        </w:rPr>
      </w:pPr>
    </w:p>
    <w:p w:rsidR="00287B1D" w:rsidRDefault="00BB6CB9">
      <w:pPr>
        <w:ind w:left="-567" w:right="284"/>
        <w:jc w:val="center"/>
        <w:rPr>
          <w:b/>
          <w:i/>
          <w:color w:val="FF0000"/>
          <w:u w:val="single"/>
        </w:rPr>
      </w:pPr>
      <w:r>
        <w:rPr>
          <w:b/>
          <w:i/>
          <w:color w:val="FF0000"/>
          <w:u w:val="single"/>
        </w:rPr>
        <w:t xml:space="preserve">ad 14) Popis funkce </w:t>
      </w:r>
      <w:proofErr w:type="gramStart"/>
      <w:r>
        <w:rPr>
          <w:b/>
          <w:i/>
          <w:color w:val="FF0000"/>
          <w:u w:val="single"/>
        </w:rPr>
        <w:t>poruchových  a provozních</w:t>
      </w:r>
      <w:proofErr w:type="gramEnd"/>
      <w:r>
        <w:rPr>
          <w:b/>
          <w:i/>
          <w:color w:val="FF0000"/>
          <w:u w:val="single"/>
        </w:rPr>
        <w:t xml:space="preserve"> stavů u RGB LED 2</w:t>
      </w:r>
    </w:p>
    <w:p w:rsidR="00287B1D" w:rsidRDefault="00BB6CB9">
      <w:pPr>
        <w:pStyle w:val="Odstavecseseznamem"/>
        <w:numPr>
          <w:ilvl w:val="0"/>
          <w:numId w:val="13"/>
        </w:numPr>
        <w:tabs>
          <w:tab w:val="clear" w:pos="720"/>
        </w:tabs>
        <w:spacing w:after="0" w:line="240" w:lineRule="auto"/>
        <w:ind w:left="-567" w:hanging="284"/>
        <w:rPr>
          <w:b/>
        </w:rPr>
      </w:pPr>
      <w:r>
        <w:rPr>
          <w:color w:val="FF0000"/>
          <w:u w:val="single"/>
        </w:rPr>
        <w:t>RGB_LED_2, poruchové stavy</w:t>
      </w:r>
    </w:p>
    <w:p w:rsidR="00287B1D" w:rsidRDefault="00BB6CB9">
      <w:pPr>
        <w:pStyle w:val="Odstavecseseznamem"/>
        <w:spacing w:after="0" w:line="240" w:lineRule="auto"/>
        <w:ind w:left="-567"/>
      </w:pPr>
      <w:r>
        <w:br/>
      </w:r>
      <w:r>
        <w:rPr>
          <w:i/>
          <w:u w:val="single"/>
        </w:rPr>
        <w:t>Levá</w:t>
      </w:r>
      <w:r>
        <w:t xml:space="preserve"> </w:t>
      </w:r>
      <w:r>
        <w:rPr>
          <w:color w:val="FF0000"/>
        </w:rPr>
        <w:t>červená</w:t>
      </w:r>
      <w:r>
        <w:t xml:space="preserve">, signalizuje poruchu, blikající krátce, porucha </w:t>
      </w:r>
      <w:proofErr w:type="gramStart"/>
      <w:r>
        <w:t xml:space="preserve">UV-C, </w:t>
      </w:r>
      <w:r>
        <w:rPr>
          <w:b/>
        </w:rPr>
        <w:t xml:space="preserve"> </w:t>
      </w:r>
      <w:r>
        <w:t xml:space="preserve"> </w:t>
      </w:r>
      <w:r>
        <w:rPr>
          <w:b/>
        </w:rPr>
        <w:t>PS</w:t>
      </w:r>
      <w:r w:rsidR="009C104D">
        <w:rPr>
          <w:b/>
        </w:rPr>
        <w:t>0</w:t>
      </w:r>
      <w:proofErr w:type="gramEnd"/>
      <w:r>
        <w:t xml:space="preserve"> tlakový senzor je i detektor pulzů, </w:t>
      </w:r>
      <w:r>
        <w:rPr>
          <w:b/>
        </w:rPr>
        <w:t>FM</w:t>
      </w:r>
      <w:r w:rsidR="009C104D">
        <w:rPr>
          <w:b/>
        </w:rPr>
        <w:t>0</w:t>
      </w:r>
      <w:r>
        <w:t>,  (různé sekvence blikání, určí konkrétní poruchu)</w:t>
      </w:r>
      <w:r>
        <w:br/>
        <w:t xml:space="preserve">1 krátká - po 1 sec, porucha </w:t>
      </w:r>
      <w:r>
        <w:rPr>
          <w:b/>
        </w:rPr>
        <w:t>UV-C LED</w:t>
      </w:r>
      <w:r>
        <w:rPr>
          <w:b/>
        </w:rPr>
        <w:br/>
      </w:r>
      <w:r>
        <w:t xml:space="preserve">2 krátké - po 0,5 sec  a 2 sec pomlka, porucha </w:t>
      </w:r>
      <w:r>
        <w:rPr>
          <w:b/>
        </w:rPr>
        <w:t>PS</w:t>
      </w:r>
      <w:r w:rsidR="009C104D">
        <w:rPr>
          <w:b/>
        </w:rPr>
        <w:t>0</w:t>
      </w:r>
      <w:r>
        <w:t xml:space="preserve"> tlakového senzoru</w:t>
      </w:r>
      <w:r>
        <w:br/>
        <w:t xml:space="preserve">3 krátké - po 0,5 sec a  3 sec pomlka,  porucha  </w:t>
      </w:r>
      <w:r>
        <w:rPr>
          <w:b/>
        </w:rPr>
        <w:t xml:space="preserve"> PD1 </w:t>
      </w:r>
      <w:r>
        <w:t>detektoru pulzů</w:t>
      </w:r>
    </w:p>
    <w:p w:rsidR="00287B1D" w:rsidRDefault="00BB6CB9">
      <w:pPr>
        <w:pStyle w:val="Odstavecseseznamem"/>
        <w:spacing w:after="0" w:line="240" w:lineRule="auto"/>
        <w:ind w:left="-567"/>
        <w:rPr>
          <w:b/>
        </w:rPr>
      </w:pPr>
      <w:r>
        <w:t xml:space="preserve">4 krátké -  po 0,5 sec a 2 dlouhé po  2 sec, porucha </w:t>
      </w:r>
      <w:r>
        <w:rPr>
          <w:b/>
        </w:rPr>
        <w:t>FM</w:t>
      </w:r>
      <w:r w:rsidR="009C104D">
        <w:rPr>
          <w:b/>
        </w:rPr>
        <w:t>0</w:t>
      </w:r>
    </w:p>
    <w:p w:rsidR="00287B1D" w:rsidRDefault="00BB6CB9">
      <w:pPr>
        <w:tabs>
          <w:tab w:val="left" w:pos="-567"/>
        </w:tabs>
        <w:spacing w:after="0" w:line="240" w:lineRule="auto"/>
        <w:ind w:left="-567"/>
      </w:pPr>
      <w:r>
        <w:rPr>
          <w:i/>
          <w:u w:val="single"/>
        </w:rPr>
        <w:t>Pravá</w:t>
      </w:r>
      <w:r>
        <w:rPr>
          <w:i/>
        </w:rPr>
        <w:t xml:space="preserve"> </w:t>
      </w:r>
      <w:r>
        <w:rPr>
          <w:color w:val="00B050"/>
        </w:rPr>
        <w:t>zelená</w:t>
      </w:r>
      <w:r>
        <w:t>, systém pod napětím</w:t>
      </w:r>
    </w:p>
    <w:p w:rsidR="00287B1D" w:rsidRDefault="00BB6CB9">
      <w:pPr>
        <w:tabs>
          <w:tab w:val="left" w:pos="-567"/>
        </w:tabs>
        <w:spacing w:after="0" w:line="240" w:lineRule="auto"/>
        <w:ind w:left="-567"/>
      </w:pPr>
      <w:r>
        <w:rPr>
          <w:i/>
          <w:u w:val="single"/>
        </w:rPr>
        <w:t>Pravá</w:t>
      </w:r>
      <w:r>
        <w:t xml:space="preserve"> </w:t>
      </w:r>
      <w:r>
        <w:rPr>
          <w:color w:val="FF0000"/>
        </w:rPr>
        <w:t>červená</w:t>
      </w:r>
      <w:r>
        <w:t xml:space="preserve">, porucha, blikající dlouze, solenoid  </w:t>
      </w:r>
      <w:r>
        <w:rPr>
          <w:b/>
        </w:rPr>
        <w:t>SV</w:t>
      </w:r>
      <w:r w:rsidR="009C104D">
        <w:rPr>
          <w:b/>
        </w:rPr>
        <w:t>0</w:t>
      </w:r>
      <w:r>
        <w:rPr>
          <w:b/>
        </w:rPr>
        <w:t xml:space="preserve"> a </w:t>
      </w:r>
      <w:r w:rsidR="009C104D">
        <w:rPr>
          <w:b/>
        </w:rPr>
        <w:t>1</w:t>
      </w:r>
      <w:r>
        <w:t xml:space="preserve">, </w:t>
      </w:r>
      <w:r>
        <w:rPr>
          <w:b/>
        </w:rPr>
        <w:t>FM</w:t>
      </w:r>
      <w:r w:rsidR="009C104D">
        <w:rPr>
          <w:b/>
        </w:rPr>
        <w:t>1</w:t>
      </w:r>
      <w:r>
        <w:t xml:space="preserve">, </w:t>
      </w:r>
      <w:r>
        <w:rPr>
          <w:b/>
        </w:rPr>
        <w:t>RGB_2</w:t>
      </w:r>
      <w:r>
        <w:t xml:space="preserve"> modulu, porucha části modulu, (různé sekvence blikání, určí konkrétní poruchu)</w:t>
      </w:r>
      <w:r>
        <w:br/>
        <w:t xml:space="preserve">1 dlouhá  - po 3 sec, 2 krátké  po 0,5 sec,  porucha </w:t>
      </w:r>
      <w:r>
        <w:rPr>
          <w:b/>
        </w:rPr>
        <w:t>SV</w:t>
      </w:r>
      <w:r w:rsidR="002B5EC5">
        <w:rPr>
          <w:b/>
        </w:rPr>
        <w:t>0</w:t>
      </w:r>
      <w:r>
        <w:rPr>
          <w:b/>
        </w:rPr>
        <w:t>NC</w:t>
      </w:r>
      <w:r>
        <w:t>  solenoidový ventil</w:t>
      </w:r>
      <w:r>
        <w:br/>
        <w:t xml:space="preserve">2 dlouhé  - po 6 sec  3 krátké po 0,5 sec,  porucha </w:t>
      </w:r>
      <w:r>
        <w:rPr>
          <w:b/>
        </w:rPr>
        <w:t>SV</w:t>
      </w:r>
      <w:r w:rsidR="002B5EC5">
        <w:rPr>
          <w:b/>
        </w:rPr>
        <w:t>1</w:t>
      </w:r>
      <w:r>
        <w:rPr>
          <w:b/>
        </w:rPr>
        <w:t>NC</w:t>
      </w:r>
      <w:r>
        <w:t>  solenoidový ventil</w:t>
      </w:r>
      <w:r>
        <w:br/>
        <w:t xml:space="preserve">6 krátkých - po  0,5 sec a 4 dlouhé po 2 sec,  porucha  </w:t>
      </w:r>
      <w:r>
        <w:rPr>
          <w:b/>
        </w:rPr>
        <w:t>FM</w:t>
      </w:r>
      <w:r w:rsidR="002B5EC5">
        <w:rPr>
          <w:b/>
        </w:rPr>
        <w:t>1</w:t>
      </w:r>
      <w:r>
        <w:t xml:space="preserve"> </w:t>
      </w:r>
    </w:p>
    <w:p w:rsidR="00287B1D" w:rsidRDefault="00BB6CB9">
      <w:pPr>
        <w:tabs>
          <w:tab w:val="left" w:pos="-567"/>
        </w:tabs>
        <w:spacing w:after="0" w:line="240" w:lineRule="auto"/>
        <w:ind w:left="-567"/>
        <w:rPr>
          <w:color w:val="0066FF"/>
          <w:u w:val="single"/>
        </w:rPr>
      </w:pPr>
      <w:r>
        <w:rPr>
          <w:i/>
          <w:u w:val="single"/>
        </w:rPr>
        <w:t>Levá</w:t>
      </w:r>
      <w:r>
        <w:rPr>
          <w:i/>
        </w:rPr>
        <w:t xml:space="preserve"> </w:t>
      </w:r>
      <w:r>
        <w:rPr>
          <w:i/>
          <w:color w:val="00B050"/>
        </w:rPr>
        <w:t>zelená</w:t>
      </w:r>
      <w:r>
        <w:rPr>
          <w:i/>
        </w:rPr>
        <w:t>, systém pod napětím</w:t>
      </w:r>
      <w:r>
        <w:br/>
      </w:r>
      <w:r>
        <w:rPr>
          <w:i/>
          <w:u w:val="single"/>
        </w:rPr>
        <w:t>Levá</w:t>
      </w:r>
      <w:r>
        <w:rPr>
          <w:i/>
        </w:rPr>
        <w:t xml:space="preserve"> a </w:t>
      </w:r>
      <w:r>
        <w:rPr>
          <w:i/>
          <w:u w:val="single"/>
        </w:rPr>
        <w:t>pravá</w:t>
      </w:r>
      <w:r>
        <w:t xml:space="preserve"> </w:t>
      </w:r>
      <w:r>
        <w:rPr>
          <w:color w:val="FF0000"/>
        </w:rPr>
        <w:t>červená</w:t>
      </w:r>
      <w:r>
        <w:t xml:space="preserve"> v protipulzu (</w:t>
      </w:r>
      <w:r>
        <w:rPr>
          <w:color w:val="FFFFFF" w:themeColor="background1"/>
          <w:highlight w:val="red"/>
        </w:rPr>
        <w:t>semafor</w:t>
      </w:r>
      <w:r>
        <w:t>) tzn.</w:t>
      </w:r>
      <w:r>
        <w:br/>
        <w:t xml:space="preserve">1 krátká levá 1 sec, 1 krátká pravá po 1 sec, </w:t>
      </w:r>
      <w:r>
        <w:rPr>
          <w:b/>
        </w:rPr>
        <w:t>RGB_2</w:t>
      </w:r>
      <w:r>
        <w:t xml:space="preserve"> modul, </w:t>
      </w:r>
      <w:r>
        <w:rPr>
          <w:color w:val="FF0000"/>
        </w:rPr>
        <w:t>porucha části modulu</w:t>
      </w:r>
      <w:r>
        <w:br/>
        <w:t>systém je pod napětím</w:t>
      </w:r>
      <w:r>
        <w:rPr>
          <w:color w:val="0066FF"/>
          <w:u w:val="single"/>
        </w:rPr>
        <w:t xml:space="preserve"> </w:t>
      </w:r>
    </w:p>
    <w:p w:rsidR="00287B1D" w:rsidRDefault="00287B1D">
      <w:pPr>
        <w:spacing w:after="0" w:line="240" w:lineRule="auto"/>
        <w:rPr>
          <w:color w:val="0066FF"/>
          <w:u w:val="single"/>
        </w:rPr>
      </w:pPr>
    </w:p>
    <w:p w:rsidR="00287B1D" w:rsidRDefault="00BB6CB9">
      <w:pPr>
        <w:spacing w:after="0" w:line="240" w:lineRule="auto"/>
        <w:ind w:left="-567"/>
        <w:rPr>
          <w:color w:val="0066FF"/>
          <w:u w:val="single"/>
        </w:rPr>
      </w:pPr>
      <w:r>
        <w:rPr>
          <w:color w:val="0066FF"/>
          <w:u w:val="single"/>
        </w:rPr>
        <w:t>RGB_LED_2, provozní stavy</w:t>
      </w:r>
    </w:p>
    <w:p w:rsidR="00287B1D" w:rsidRDefault="00287B1D">
      <w:pPr>
        <w:pStyle w:val="Odstavecseseznamem"/>
        <w:spacing w:after="0" w:line="240" w:lineRule="auto"/>
        <w:ind w:left="-567"/>
        <w:rPr>
          <w:color w:val="0066FF"/>
          <w:u w:val="single"/>
        </w:rPr>
      </w:pPr>
    </w:p>
    <w:p w:rsidR="00287B1D" w:rsidRDefault="00BB6CB9">
      <w:pPr>
        <w:spacing w:after="0" w:line="240" w:lineRule="auto"/>
        <w:ind w:left="-567"/>
      </w:pPr>
      <w:r>
        <w:rPr>
          <w:noProof/>
          <w:lang w:eastAsia="cs-CZ"/>
        </w:rPr>
        <w:drawing>
          <wp:anchor distT="0" distB="0" distL="0" distR="0" simplePos="0" relativeHeight="75" behindDoc="1" locked="0" layoutInCell="1" allowOverlap="1">
            <wp:simplePos x="0" y="0"/>
            <wp:positionH relativeFrom="column">
              <wp:posOffset>4130040</wp:posOffset>
            </wp:positionH>
            <wp:positionV relativeFrom="paragraph">
              <wp:posOffset>1497965</wp:posOffset>
            </wp:positionV>
            <wp:extent cx="1419225" cy="951230"/>
            <wp:effectExtent l="0" t="0" r="0" b="0"/>
            <wp:wrapNone/>
            <wp:docPr id="24" name="Obrázek 100" descr="C:\Users\VTI\Documents\VTI\RGB LED Modul - oranžová,zelen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100" descr="C:\Users\VTI\Documents\VTI\RGB LED Modul - oranžová,zelená.png"/>
                    <pic:cNvPicPr>
                      <a:picLocks noChangeAspect="1" noChangeArrowheads="1"/>
                    </pic:cNvPicPr>
                  </pic:nvPicPr>
                  <pic:blipFill>
                    <a:blip r:embed="rId48"/>
                    <a:stretch>
                      <a:fillRect/>
                    </a:stretch>
                  </pic:blipFill>
                  <pic:spPr bwMode="auto">
                    <a:xfrm>
                      <a:off x="0" y="0"/>
                      <a:ext cx="1419225" cy="951230"/>
                    </a:xfrm>
                    <a:prstGeom prst="rect">
                      <a:avLst/>
                    </a:prstGeom>
                  </pic:spPr>
                </pic:pic>
              </a:graphicData>
            </a:graphic>
          </wp:anchor>
        </w:drawing>
      </w:r>
      <w:r>
        <w:rPr>
          <w:i/>
          <w:u w:val="single"/>
        </w:rPr>
        <w:t>Pravá</w:t>
      </w:r>
      <w:r>
        <w:rPr>
          <w:i/>
        </w:rPr>
        <w:t xml:space="preserve"> </w:t>
      </w:r>
      <w:r>
        <w:rPr>
          <w:color w:val="00B050"/>
        </w:rPr>
        <w:t>zelená</w:t>
      </w:r>
      <w:r>
        <w:t>, systém pod napětím, trvalé světlo</w:t>
      </w:r>
      <w:r>
        <w:rPr>
          <w:color w:val="0066FF"/>
          <w:u w:val="single"/>
        </w:rPr>
        <w:br/>
      </w:r>
      <w:r>
        <w:rPr>
          <w:i/>
          <w:u w:val="single"/>
        </w:rPr>
        <w:t>Levá</w:t>
      </w:r>
      <w:r>
        <w:t xml:space="preserve"> </w:t>
      </w:r>
      <w:r>
        <w:rPr>
          <w:color w:val="0066FF"/>
        </w:rPr>
        <w:t>modrá</w:t>
      </w:r>
      <w:r>
        <w:t xml:space="preserve">  1 krátká -  po  1 sec a  po 1 sec pauza, blikající sepnutá </w:t>
      </w:r>
      <w:r>
        <w:rPr>
          <w:b/>
        </w:rPr>
        <w:t>UV-C LED</w:t>
      </w:r>
      <w:r>
        <w:t xml:space="preserve"> lampa, pouze při průtoku</w:t>
      </w:r>
      <w:r>
        <w:br/>
      </w:r>
      <w:r>
        <w:rPr>
          <w:i/>
          <w:u w:val="single"/>
        </w:rPr>
        <w:t>Levá</w:t>
      </w:r>
      <w:r>
        <w:t xml:space="preserve"> </w:t>
      </w:r>
      <w:r>
        <w:rPr>
          <w:color w:val="FF9900"/>
        </w:rPr>
        <w:t>oranžová</w:t>
      </w:r>
      <w:r>
        <w:t xml:space="preserve"> blikající podle přenosu dat, </w:t>
      </w:r>
      <w:r>
        <w:rPr>
          <w:highlight w:val="yellow"/>
        </w:rPr>
        <w:t>má přednost</w:t>
      </w:r>
      <w:r>
        <w:t xml:space="preserve"> před  </w:t>
      </w:r>
      <w:proofErr w:type="gramStart"/>
      <w:r>
        <w:t>pulzy   s podtlakové</w:t>
      </w:r>
      <w:proofErr w:type="gramEnd"/>
      <w:r>
        <w:t xml:space="preserve"> pumpy a před </w:t>
      </w:r>
      <w:r>
        <w:rPr>
          <w:b/>
        </w:rPr>
        <w:t>UV-C LED</w:t>
      </w:r>
      <w:r>
        <w:t xml:space="preserve">, </w:t>
      </w:r>
      <w:r>
        <w:rPr>
          <w:highlight w:val="yellow"/>
        </w:rPr>
        <w:t>pouze při přenosu dat</w:t>
      </w:r>
      <w:r>
        <w:t xml:space="preserve"> </w:t>
      </w:r>
      <w:r>
        <w:br/>
      </w:r>
      <w:r>
        <w:rPr>
          <w:i/>
          <w:u w:val="single"/>
        </w:rPr>
        <w:t>Levá</w:t>
      </w:r>
      <w:r>
        <w:t xml:space="preserve"> </w:t>
      </w:r>
      <w:r>
        <w:rPr>
          <w:color w:val="7030A0"/>
        </w:rPr>
        <w:t>fialová</w:t>
      </w:r>
      <w:r>
        <w:t xml:space="preserve">, pulzy  </w:t>
      </w:r>
      <w:r>
        <w:rPr>
          <w:b/>
        </w:rPr>
        <w:t xml:space="preserve"> </w:t>
      </w:r>
      <w:r>
        <w:t>s podtlakové pumpy, pouze, pokud se nepřenáší data, první pulz 1 sec, druhý pulz 1 sec, relevantní hodnota (čas), se  měří  mezi pulzy</w:t>
      </w:r>
      <w:r>
        <w:br/>
      </w:r>
      <w:r>
        <w:rPr>
          <w:i/>
          <w:u w:val="single"/>
        </w:rPr>
        <w:t>Levá</w:t>
      </w:r>
      <w:r>
        <w:t xml:space="preserve"> </w:t>
      </w:r>
      <w:r>
        <w:rPr>
          <w:color w:val="FF9900"/>
        </w:rPr>
        <w:t>oranžová</w:t>
      </w:r>
      <w:r>
        <w:t xml:space="preserve">, přenos dat a  </w:t>
      </w:r>
      <w:r>
        <w:rPr>
          <w:i/>
          <w:u w:val="single"/>
        </w:rPr>
        <w:t>pravá</w:t>
      </w:r>
      <w:r>
        <w:rPr>
          <w:color w:val="00B050"/>
        </w:rPr>
        <w:t xml:space="preserve"> zelená</w:t>
      </w:r>
      <w:r>
        <w:t xml:space="preserve"> připojení k routeru, </w:t>
      </w:r>
      <w:r>
        <w:rPr>
          <w:i/>
          <w:highlight w:val="green"/>
        </w:rPr>
        <w:t>pouze při logování</w:t>
      </w:r>
      <w:r>
        <w:t>  Wi-Fi routeru, viz RJ 45 s LED, má přednost před vším</w:t>
      </w:r>
    </w:p>
    <w:p w:rsidR="00287B1D" w:rsidRDefault="00287B1D">
      <w:pPr>
        <w:spacing w:after="0" w:line="240" w:lineRule="auto"/>
        <w:ind w:left="-567"/>
      </w:pPr>
    </w:p>
    <w:p w:rsidR="00287B1D" w:rsidRDefault="00BB6CB9">
      <w:pPr>
        <w:pStyle w:val="Odstavecseseznamem"/>
        <w:numPr>
          <w:ilvl w:val="0"/>
          <w:numId w:val="8"/>
        </w:numPr>
        <w:tabs>
          <w:tab w:val="clear" w:pos="720"/>
        </w:tabs>
        <w:spacing w:after="0" w:line="240" w:lineRule="auto"/>
        <w:ind w:left="-567" w:right="284" w:hanging="284"/>
        <w:rPr>
          <w:u w:val="single"/>
        </w:rPr>
      </w:pPr>
      <w:r>
        <w:rPr>
          <w:u w:val="single"/>
        </w:rPr>
        <w:t>Poznámka:</w:t>
      </w:r>
    </w:p>
    <w:p w:rsidR="00287B1D" w:rsidRDefault="00287B1D">
      <w:pPr>
        <w:pStyle w:val="Odstavecseseznamem"/>
        <w:spacing w:after="0" w:line="240" w:lineRule="auto"/>
        <w:ind w:left="-567" w:right="284"/>
        <w:rPr>
          <w:u w:val="single"/>
        </w:rPr>
      </w:pPr>
    </w:p>
    <w:p w:rsidR="00287B1D" w:rsidRDefault="00BB6CB9">
      <w:pPr>
        <w:spacing w:after="0"/>
        <w:ind w:left="-567" w:right="284"/>
        <w:jc w:val="both"/>
        <w:rPr>
          <w:b/>
        </w:rPr>
      </w:pPr>
      <w:r>
        <w:rPr>
          <w:b/>
        </w:rPr>
        <w:t xml:space="preserve">RDM_1 </w:t>
      </w:r>
      <w:r>
        <w:t>– u původních modelů 1; Basic, Home, Residential, Café</w:t>
      </w:r>
    </w:p>
    <w:p w:rsidR="00287B1D" w:rsidRDefault="00BB6CB9">
      <w:pPr>
        <w:spacing w:after="0"/>
        <w:ind w:left="-567" w:right="284"/>
        <w:jc w:val="both"/>
      </w:pPr>
      <w:r>
        <w:rPr>
          <w:b/>
        </w:rPr>
        <w:t xml:space="preserve">RDM_2b  </w:t>
      </w:r>
      <w:r>
        <w:t xml:space="preserve">- u </w:t>
      </w:r>
      <w:proofErr w:type="gramStart"/>
      <w:r>
        <w:t>všech  nových</w:t>
      </w:r>
      <w:proofErr w:type="gramEnd"/>
      <w:r>
        <w:t xml:space="preserve"> modelů 2     </w:t>
      </w:r>
    </w:p>
    <w:p w:rsidR="00287B1D" w:rsidRDefault="00BB6CB9">
      <w:pPr>
        <w:spacing w:after="0"/>
        <w:ind w:left="-567" w:right="284"/>
        <w:jc w:val="both"/>
      </w:pPr>
      <w:r>
        <w:rPr>
          <w:b/>
        </w:rPr>
        <w:t>SV</w:t>
      </w:r>
      <w:r w:rsidR="002B5EC5">
        <w:rPr>
          <w:b/>
        </w:rPr>
        <w:t>0</w:t>
      </w:r>
      <w:r>
        <w:rPr>
          <w:b/>
        </w:rPr>
        <w:t>NC</w:t>
      </w:r>
      <w:r>
        <w:t xml:space="preserve"> – u všech modelů, kromě AQ3 Mini Basic            </w:t>
      </w:r>
      <w:r>
        <w:rPr>
          <w:sz w:val="14"/>
          <w:szCs w:val="14"/>
        </w:rPr>
        <w:t>Obr.20 barvy LED při zalogování k </w:t>
      </w:r>
      <w:proofErr w:type="gramStart"/>
      <w:r>
        <w:rPr>
          <w:sz w:val="14"/>
          <w:szCs w:val="14"/>
        </w:rPr>
        <w:t>routeru(vzor</w:t>
      </w:r>
      <w:proofErr w:type="gramEnd"/>
      <w:r>
        <w:rPr>
          <w:sz w:val="14"/>
          <w:szCs w:val="14"/>
        </w:rPr>
        <w:t>)</w:t>
      </w:r>
    </w:p>
    <w:p w:rsidR="00287B1D" w:rsidRDefault="00BB6CB9">
      <w:pPr>
        <w:spacing w:after="0"/>
        <w:ind w:left="-567" w:right="284"/>
        <w:jc w:val="both"/>
      </w:pPr>
      <w:r>
        <w:rPr>
          <w:b/>
        </w:rPr>
        <w:t>SV</w:t>
      </w:r>
      <w:r w:rsidR="002B5EC5">
        <w:rPr>
          <w:b/>
        </w:rPr>
        <w:t>1</w:t>
      </w:r>
      <w:r>
        <w:rPr>
          <w:b/>
        </w:rPr>
        <w:t xml:space="preserve">NC </w:t>
      </w:r>
      <w:r>
        <w:t xml:space="preserve">– u všech modelů, kromě AQ3 Mini Basic  </w:t>
      </w:r>
    </w:p>
    <w:p w:rsidR="00287B1D" w:rsidRDefault="00BB6CB9">
      <w:pPr>
        <w:spacing w:after="0"/>
        <w:ind w:left="-567" w:right="284"/>
        <w:jc w:val="both"/>
      </w:pPr>
      <w:r>
        <w:rPr>
          <w:b/>
        </w:rPr>
        <w:t>PS</w:t>
      </w:r>
      <w:r w:rsidR="002B5EC5">
        <w:rPr>
          <w:b/>
        </w:rPr>
        <w:t>0</w:t>
      </w:r>
      <w:r>
        <w:t xml:space="preserve"> - u všech modelů, kromě AQ3 Mini Basic  </w:t>
      </w:r>
      <w:r>
        <w:rPr>
          <w:sz w:val="16"/>
          <w:szCs w:val="16"/>
        </w:rPr>
        <w:t xml:space="preserve">      </w:t>
      </w:r>
      <w:r>
        <w:rPr>
          <w:sz w:val="14"/>
          <w:szCs w:val="14"/>
        </w:rPr>
        <w:t xml:space="preserve">                        </w:t>
      </w:r>
    </w:p>
    <w:p w:rsidR="00287B1D" w:rsidRDefault="00BB6CB9">
      <w:pPr>
        <w:spacing w:after="0"/>
        <w:ind w:left="-567" w:right="284"/>
        <w:jc w:val="both"/>
      </w:pPr>
      <w:r>
        <w:rPr>
          <w:b/>
        </w:rPr>
        <w:t>PD1</w:t>
      </w:r>
      <w:r>
        <w:t xml:space="preserve">- u všech modelů, kromě AQ3 Mini Basic (alter.) </w:t>
      </w:r>
    </w:p>
    <w:p w:rsidR="00287B1D" w:rsidRDefault="00BB6CB9">
      <w:pPr>
        <w:spacing w:after="0"/>
        <w:ind w:left="-567" w:right="284"/>
        <w:jc w:val="both"/>
      </w:pPr>
      <w:r>
        <w:rPr>
          <w:b/>
        </w:rPr>
        <w:t>ZK1</w:t>
      </w:r>
      <w:r>
        <w:t xml:space="preserve"> – u všech modelů, kromě AQ3 Mini Basic  </w:t>
      </w:r>
    </w:p>
    <w:p w:rsidR="00287B1D" w:rsidRDefault="00697831">
      <w:pPr>
        <w:spacing w:after="0"/>
        <w:ind w:left="-567" w:right="284"/>
        <w:jc w:val="both"/>
      </w:pPr>
      <w:r>
        <w:rPr>
          <w:noProof/>
          <w:lang w:eastAsia="cs-CZ"/>
        </w:rPr>
        <w:lastRenderedPageBreak/>
        <w:drawing>
          <wp:anchor distT="0" distB="0" distL="0" distR="0" simplePos="0" relativeHeight="57" behindDoc="0" locked="0" layoutInCell="1" allowOverlap="1" wp14:anchorId="659A0107" wp14:editId="602650F1">
            <wp:simplePos x="0" y="0"/>
            <wp:positionH relativeFrom="column">
              <wp:posOffset>4701540</wp:posOffset>
            </wp:positionH>
            <wp:positionV relativeFrom="paragraph">
              <wp:posOffset>-118110</wp:posOffset>
            </wp:positionV>
            <wp:extent cx="1332230" cy="876935"/>
            <wp:effectExtent l="0" t="0" r="1270" b="0"/>
            <wp:wrapNone/>
            <wp:docPr id="25" name="Obrázek 59" descr="C:\Users\VTI\Documents\VTI\Manuály\Foto pro manuál\VTI  UI LED- SESTAVA upra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59" descr="C:\Users\VTI\Documents\VTI\Manuály\Foto pro manuál\VTI  UI LED- SESTAVA uprava.png"/>
                    <pic:cNvPicPr>
                      <a:picLocks noChangeAspect="1" noChangeArrowheads="1"/>
                    </pic:cNvPicPr>
                  </pic:nvPicPr>
                  <pic:blipFill>
                    <a:blip r:embed="rId49"/>
                    <a:stretch>
                      <a:fillRect/>
                    </a:stretch>
                  </pic:blipFill>
                  <pic:spPr bwMode="auto">
                    <a:xfrm>
                      <a:off x="0" y="0"/>
                      <a:ext cx="1332230" cy="876935"/>
                    </a:xfrm>
                    <a:prstGeom prst="rect">
                      <a:avLst/>
                    </a:prstGeom>
                  </pic:spPr>
                </pic:pic>
              </a:graphicData>
            </a:graphic>
          </wp:anchor>
        </w:drawing>
      </w:r>
      <w:r w:rsidR="00BB6CB9">
        <w:rPr>
          <w:b/>
        </w:rPr>
        <w:t>ZK2</w:t>
      </w:r>
      <w:r w:rsidR="00BB6CB9">
        <w:t xml:space="preserve"> - u všech modelů, kromě AQ3 Mini Basic  </w:t>
      </w:r>
    </w:p>
    <w:p w:rsidR="00287B1D" w:rsidRDefault="00BB6CB9">
      <w:pPr>
        <w:spacing w:after="0"/>
        <w:ind w:left="-567" w:right="284"/>
        <w:jc w:val="both"/>
      </w:pPr>
      <w:r>
        <w:rPr>
          <w:b/>
        </w:rPr>
        <w:t>FM</w:t>
      </w:r>
      <w:r w:rsidR="002B5EC5">
        <w:rPr>
          <w:b/>
        </w:rPr>
        <w:t>0</w:t>
      </w:r>
      <w:r>
        <w:t xml:space="preserve"> -  u všech modelů, kromě AQ3 Mini Basic                                 </w:t>
      </w:r>
      <w:r>
        <w:rPr>
          <w:sz w:val="14"/>
          <w:szCs w:val="14"/>
        </w:rPr>
        <w:t xml:space="preserve">                                          </w:t>
      </w:r>
    </w:p>
    <w:p w:rsidR="00287B1D" w:rsidRDefault="00BB6CB9">
      <w:pPr>
        <w:tabs>
          <w:tab w:val="left" w:pos="9639"/>
        </w:tabs>
        <w:spacing w:after="0"/>
        <w:ind w:left="-567" w:right="284"/>
        <w:jc w:val="both"/>
      </w:pPr>
      <w:r>
        <w:rPr>
          <w:b/>
        </w:rPr>
        <w:t>FM</w:t>
      </w:r>
      <w:r w:rsidR="002B5EC5">
        <w:rPr>
          <w:b/>
        </w:rPr>
        <w:t>1</w:t>
      </w:r>
      <w:r>
        <w:t xml:space="preserve"> -  u všech modelů, včetně AQ3 Mini Basic </w:t>
      </w:r>
    </w:p>
    <w:p w:rsidR="00287B1D" w:rsidRDefault="00BB6CB9">
      <w:pPr>
        <w:tabs>
          <w:tab w:val="left" w:pos="9639"/>
        </w:tabs>
        <w:spacing w:after="0"/>
        <w:ind w:left="-567" w:right="284"/>
        <w:jc w:val="both"/>
      </w:pPr>
      <w:r>
        <w:rPr>
          <w:b/>
        </w:rPr>
        <w:t>FM</w:t>
      </w:r>
      <w:r w:rsidR="002B5EC5">
        <w:rPr>
          <w:b/>
        </w:rPr>
        <w:t>2</w:t>
      </w:r>
      <w:r>
        <w:rPr>
          <w:b/>
        </w:rPr>
        <w:t xml:space="preserve"> </w:t>
      </w:r>
      <w:r>
        <w:t>-</w:t>
      </w:r>
      <w:r>
        <w:rPr>
          <w:b/>
        </w:rPr>
        <w:t xml:space="preserve">  </w:t>
      </w:r>
      <w:r>
        <w:t xml:space="preserve">u všech modelů, kromě AQ3 Mini Basic                                 </w:t>
      </w:r>
    </w:p>
    <w:p w:rsidR="00287B1D" w:rsidRDefault="00BB6CB9">
      <w:pPr>
        <w:tabs>
          <w:tab w:val="left" w:pos="9639"/>
        </w:tabs>
        <w:spacing w:after="0"/>
        <w:ind w:left="-567" w:right="284"/>
        <w:jc w:val="both"/>
      </w:pPr>
      <w:r>
        <w:rPr>
          <w:b/>
        </w:rPr>
        <w:t xml:space="preserve">SMD servis LED </w:t>
      </w:r>
      <w:r>
        <w:t xml:space="preserve">– 1,2,3 u všech modelů, včetně AQ3 Mini Basic </w:t>
      </w:r>
      <w:r w:rsidR="00697831">
        <w:t xml:space="preserve">        </w:t>
      </w:r>
      <w:proofErr w:type="gramStart"/>
      <w:r w:rsidR="00697831">
        <w:rPr>
          <w:sz w:val="14"/>
          <w:szCs w:val="14"/>
        </w:rPr>
        <w:t>Obr.21</w:t>
      </w:r>
      <w:proofErr w:type="gramEnd"/>
      <w:r w:rsidR="00697831">
        <w:rPr>
          <w:sz w:val="14"/>
          <w:szCs w:val="14"/>
        </w:rPr>
        <w:t xml:space="preserve"> RGB_LED_2 modul</w:t>
      </w:r>
    </w:p>
    <w:p w:rsidR="00287B1D" w:rsidRDefault="00BB6CB9">
      <w:pPr>
        <w:spacing w:after="0"/>
        <w:ind w:left="-567" w:right="284"/>
        <w:jc w:val="both"/>
      </w:pPr>
      <w:r>
        <w:rPr>
          <w:b/>
        </w:rPr>
        <w:t xml:space="preserve">RGB_LED_2 </w:t>
      </w:r>
      <w:r>
        <w:t xml:space="preserve">– u všech modelů 2; </w:t>
      </w:r>
      <w:r>
        <w:rPr>
          <w:i/>
          <w:u w:val="single"/>
        </w:rPr>
        <w:t>rozšíření</w:t>
      </w:r>
      <w:r>
        <w:t xml:space="preserve"> platí i pro modely Midi, Home, Home</w:t>
      </w:r>
      <w:r>
        <w:rPr>
          <w:vertAlign w:val="superscript"/>
        </w:rPr>
        <w:t xml:space="preserve"> </w:t>
      </w:r>
      <w:r>
        <w:t xml:space="preserve">Plus </w:t>
      </w:r>
      <w:proofErr w:type="gramStart"/>
      <w:r>
        <w:t>atp...</w:t>
      </w:r>
      <w:proofErr w:type="gramEnd"/>
    </w:p>
    <w:p w:rsidR="00287B1D" w:rsidRDefault="00287B1D">
      <w:pPr>
        <w:spacing w:after="0"/>
        <w:ind w:left="-567" w:right="284"/>
        <w:jc w:val="both"/>
      </w:pPr>
    </w:p>
    <w:p w:rsidR="00287B1D" w:rsidRDefault="000335A7">
      <w:pPr>
        <w:tabs>
          <w:tab w:val="left" w:pos="7797"/>
          <w:tab w:val="left" w:pos="8080"/>
          <w:tab w:val="left" w:pos="8364"/>
        </w:tabs>
        <w:spacing w:after="0"/>
        <w:ind w:left="-142" w:right="284"/>
        <w:rPr>
          <w:rFonts w:ascii="Times New Roman" w:eastAsia="Times New Roman" w:hAnsi="Times New Roman" w:cs="Times New Roman"/>
          <w:color w:val="000000"/>
          <w:sz w:val="0"/>
          <w:szCs w:val="0"/>
          <w:highlight w:val="black"/>
          <w:u w:color="000000"/>
          <w:lang w:eastAsia="x-none" w:bidi="x-none"/>
        </w:rPr>
      </w:pPr>
      <w:r>
        <w:rPr>
          <w:noProof/>
          <w:lang w:eastAsia="cs-CZ"/>
        </w:rPr>
        <w:drawing>
          <wp:anchor distT="0" distB="0" distL="0" distR="0" simplePos="0" relativeHeight="74" behindDoc="0" locked="0" layoutInCell="1" allowOverlap="1" wp14:anchorId="6713A44F" wp14:editId="77935F22">
            <wp:simplePos x="0" y="0"/>
            <wp:positionH relativeFrom="column">
              <wp:posOffset>4243705</wp:posOffset>
            </wp:positionH>
            <wp:positionV relativeFrom="paragraph">
              <wp:posOffset>-149225</wp:posOffset>
            </wp:positionV>
            <wp:extent cx="676275" cy="959485"/>
            <wp:effectExtent l="0" t="8255" r="1270" b="1270"/>
            <wp:wrapNone/>
            <wp:docPr id="26" name="Obrázek 69" descr="C:\Users\VTI\AppData\Local\Microsoft\Windows\INetCache\Content.Outlook\XK38IIY7\Tlakový snímač (bez kabelu).jpg"/>
            <wp:cNvGraphicFramePr/>
            <a:graphic xmlns:a="http://schemas.openxmlformats.org/drawingml/2006/main">
              <a:graphicData uri="http://schemas.openxmlformats.org/drawingml/2006/picture">
                <pic:pic xmlns:pic="http://schemas.openxmlformats.org/drawingml/2006/picture">
                  <pic:nvPicPr>
                    <pic:cNvPr id="3" name="Obrázek 69" descr="C:\Users\VTI\AppData\Local\Microsoft\Windows\INetCache\Content.Outlook\XK38IIY7\Tlakový snímač (bez kabelu).jpg"/>
                    <pic:cNvPicPr/>
                  </pic:nvPicPr>
                  <pic:blipFill>
                    <a:blip r:embed="rId50"/>
                    <a:stretch/>
                  </pic:blipFill>
                  <pic:spPr>
                    <a:xfrm rot="16200000">
                      <a:off x="0" y="0"/>
                      <a:ext cx="676275" cy="959485"/>
                    </a:xfrm>
                    <a:prstGeom prst="rect">
                      <a:avLst/>
                    </a:prstGeom>
                    <a:ln>
                      <a:noFill/>
                    </a:ln>
                  </pic:spPr>
                </pic:pic>
              </a:graphicData>
            </a:graphic>
          </wp:anchor>
        </w:drawing>
      </w:r>
      <w:r w:rsidR="00BB6CB9">
        <w:t xml:space="preserve">                </w:t>
      </w:r>
      <w:r w:rsidR="00BB6CB9">
        <w:rPr>
          <w:lang w:eastAsia="cs-CZ"/>
        </w:rPr>
        <w:t xml:space="preserve">  </w:t>
      </w:r>
      <w:r w:rsidR="00BB6CB9">
        <w:rPr>
          <w:noProof/>
          <w:lang w:eastAsia="cs-CZ"/>
        </w:rPr>
        <w:drawing>
          <wp:inline distT="0" distB="0" distL="0" distR="0">
            <wp:extent cx="850900" cy="850900"/>
            <wp:effectExtent l="0" t="0" r="0" b="0"/>
            <wp:docPr id="27" name="Obrázek 113" descr="Teplotní senzor -50..125°C, čidlo 30x6mm, kabel 1m DS18B20 - 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113" descr="Teplotní senzor -50..125°C, čidlo 30x6mm, kabel 1m DS18B20 - 1m"/>
                    <pic:cNvPicPr>
                      <a:picLocks noChangeAspect="1" noChangeArrowheads="1"/>
                    </pic:cNvPicPr>
                  </pic:nvPicPr>
                  <pic:blipFill>
                    <a:blip r:embed="rId51"/>
                    <a:stretch>
                      <a:fillRect/>
                    </a:stretch>
                  </pic:blipFill>
                  <pic:spPr bwMode="auto">
                    <a:xfrm>
                      <a:off x="0" y="0"/>
                      <a:ext cx="850900" cy="850900"/>
                    </a:xfrm>
                    <a:prstGeom prst="rect">
                      <a:avLst/>
                    </a:prstGeom>
                  </pic:spPr>
                </pic:pic>
              </a:graphicData>
            </a:graphic>
          </wp:inline>
        </w:drawing>
      </w:r>
      <w:r w:rsidR="00BB6CB9">
        <w:rPr>
          <w:lang w:eastAsia="cs-CZ"/>
        </w:rPr>
        <w:t xml:space="preserve">                                                      </w:t>
      </w:r>
      <w:r w:rsidR="00BB6CB9">
        <w:rPr>
          <w:rFonts w:ascii="Times New Roman" w:eastAsia="Times New Roman" w:hAnsi="Times New Roman" w:cs="Times New Roman"/>
          <w:color w:val="000000"/>
          <w:sz w:val="0"/>
          <w:szCs w:val="0"/>
          <w:u w:color="000000"/>
          <w:shd w:val="clear" w:color="auto" w:fill="000000"/>
          <w:lang w:val="x-none" w:eastAsia="x-none" w:bidi="x-none"/>
        </w:rPr>
        <w:t xml:space="preserve"> </w:t>
      </w:r>
    </w:p>
    <w:p w:rsidR="00287B1D" w:rsidRDefault="00BB6CB9">
      <w:pPr>
        <w:tabs>
          <w:tab w:val="left" w:pos="7797"/>
          <w:tab w:val="left" w:pos="8080"/>
          <w:tab w:val="left" w:pos="8364"/>
        </w:tabs>
        <w:spacing w:after="0"/>
        <w:ind w:left="-567" w:right="284"/>
        <w:jc w:val="both"/>
        <w:rPr>
          <w:sz w:val="14"/>
          <w:szCs w:val="14"/>
        </w:rPr>
      </w:pPr>
      <w:r>
        <w:rPr>
          <w:sz w:val="14"/>
          <w:szCs w:val="14"/>
        </w:rPr>
        <w:t xml:space="preserve">      </w:t>
      </w:r>
      <w:proofErr w:type="gramStart"/>
      <w:r>
        <w:rPr>
          <w:sz w:val="14"/>
          <w:szCs w:val="14"/>
        </w:rPr>
        <w:t>Obr.22</w:t>
      </w:r>
      <w:proofErr w:type="gramEnd"/>
      <w:r>
        <w:rPr>
          <w:sz w:val="14"/>
          <w:szCs w:val="14"/>
        </w:rPr>
        <w:t xml:space="preserve"> Snímač vstupní teploty TS1,2; </w:t>
      </w:r>
      <w:r>
        <w:rPr>
          <w:rFonts w:ascii="Arial" w:hAnsi="Arial" w:cs="Arial"/>
          <w:color w:val="4F4F4F"/>
          <w:sz w:val="19"/>
          <w:szCs w:val="19"/>
          <w:shd w:val="clear" w:color="auto" w:fill="FFFFFF"/>
        </w:rPr>
        <w:t> </w:t>
      </w:r>
      <w:r>
        <w:rPr>
          <w:rFonts w:cs="Arial"/>
          <w:color w:val="4F4F4F"/>
          <w:sz w:val="14"/>
          <w:szCs w:val="14"/>
          <w:shd w:val="clear" w:color="auto" w:fill="FFFFFF"/>
        </w:rPr>
        <w:t>– 50°C až + 125°C</w:t>
      </w:r>
      <w:r>
        <w:rPr>
          <w:sz w:val="14"/>
          <w:szCs w:val="14"/>
        </w:rPr>
        <w:t xml:space="preserve">                                          Obr.23 Snímač tlaku  PS1,2; 1 – 10 bar</w:t>
      </w:r>
      <w:r>
        <w:rPr>
          <w:sz w:val="14"/>
          <w:szCs w:val="14"/>
          <w:vertAlign w:val="superscript"/>
        </w:rPr>
        <w:t xml:space="preserve"> t</w:t>
      </w:r>
      <w:r>
        <w:rPr>
          <w:rFonts w:cstheme="minorHAnsi"/>
          <w:sz w:val="16"/>
          <w:szCs w:val="16"/>
          <w:vertAlign w:val="superscript"/>
        </w:rPr>
        <w:t>)</w:t>
      </w:r>
      <w:r>
        <w:rPr>
          <w:sz w:val="14"/>
          <w:szCs w:val="14"/>
        </w:rPr>
        <w:t xml:space="preserve">                    </w:t>
      </w:r>
    </w:p>
    <w:p w:rsidR="00287B1D" w:rsidRDefault="00287B1D">
      <w:pPr>
        <w:spacing w:after="0"/>
        <w:ind w:left="-426" w:right="284" w:hanging="141"/>
        <w:rPr>
          <w:sz w:val="14"/>
          <w:szCs w:val="14"/>
          <w:vertAlign w:val="superscript"/>
        </w:rPr>
      </w:pPr>
    </w:p>
    <w:p w:rsidR="00287B1D" w:rsidRDefault="00BB6CB9">
      <w:pPr>
        <w:spacing w:after="0"/>
        <w:ind w:left="-426" w:right="284" w:hanging="141"/>
        <w:rPr>
          <w:rFonts w:cstheme="minorHAnsi"/>
          <w:sz w:val="10"/>
          <w:szCs w:val="10"/>
        </w:rPr>
      </w:pPr>
      <w:r>
        <w:rPr>
          <w:b/>
          <w:sz w:val="14"/>
          <w:szCs w:val="14"/>
          <w:vertAlign w:val="superscript"/>
        </w:rPr>
        <w:t>t</w:t>
      </w:r>
      <w:r>
        <w:rPr>
          <w:rFonts w:cstheme="minorHAnsi"/>
          <w:b/>
          <w:sz w:val="16"/>
          <w:szCs w:val="16"/>
          <w:vertAlign w:val="superscript"/>
        </w:rPr>
        <w:t>)</w:t>
      </w:r>
      <w:r>
        <w:rPr>
          <w:b/>
          <w:sz w:val="14"/>
          <w:szCs w:val="14"/>
        </w:rPr>
        <w:t xml:space="preserve"> </w:t>
      </w:r>
      <w:r>
        <w:rPr>
          <w:sz w:val="10"/>
          <w:szCs w:val="10"/>
        </w:rPr>
        <w:t xml:space="preserve">u všech modelů, kromě AQ3 Mini Basic  </w:t>
      </w:r>
    </w:p>
    <w:p w:rsidR="00287B1D" w:rsidRDefault="00BB6CB9">
      <w:pPr>
        <w:spacing w:after="0"/>
        <w:ind w:left="-567" w:right="284"/>
        <w:jc w:val="both"/>
        <w:rPr>
          <w:b/>
          <w:sz w:val="16"/>
          <w:szCs w:val="16"/>
        </w:rPr>
      </w:pPr>
      <w:proofErr w:type="gramStart"/>
      <w:r>
        <w:rPr>
          <w:b/>
          <w:sz w:val="16"/>
          <w:szCs w:val="16"/>
        </w:rPr>
        <w:t>*      Platí</w:t>
      </w:r>
      <w:proofErr w:type="gramEnd"/>
      <w:r>
        <w:rPr>
          <w:b/>
          <w:sz w:val="16"/>
          <w:szCs w:val="16"/>
        </w:rPr>
        <w:t xml:space="preserve"> pro modely 2 (</w:t>
      </w:r>
      <w:r>
        <w:rPr>
          <w:b/>
          <w:color w:val="E36C0A" w:themeColor="accent6" w:themeShade="BF"/>
          <w:sz w:val="16"/>
          <w:szCs w:val="16"/>
        </w:rPr>
        <w:t>SV1NC, SV</w:t>
      </w:r>
      <w:r w:rsidR="002B5EC5">
        <w:rPr>
          <w:b/>
          <w:color w:val="E36C0A" w:themeColor="accent6" w:themeShade="BF"/>
          <w:sz w:val="16"/>
          <w:szCs w:val="16"/>
        </w:rPr>
        <w:t>1</w:t>
      </w:r>
      <w:r>
        <w:rPr>
          <w:b/>
          <w:color w:val="E36C0A" w:themeColor="accent6" w:themeShade="BF"/>
          <w:sz w:val="16"/>
          <w:szCs w:val="16"/>
        </w:rPr>
        <w:t>NC, PS</w:t>
      </w:r>
      <w:r w:rsidR="002B5EC5">
        <w:rPr>
          <w:b/>
          <w:color w:val="E36C0A" w:themeColor="accent6" w:themeShade="BF"/>
          <w:sz w:val="16"/>
          <w:szCs w:val="16"/>
        </w:rPr>
        <w:t>0</w:t>
      </w:r>
      <w:r>
        <w:rPr>
          <w:b/>
          <w:color w:val="E36C0A" w:themeColor="accent6" w:themeShade="BF"/>
          <w:sz w:val="16"/>
          <w:szCs w:val="16"/>
        </w:rPr>
        <w:t>, FM</w:t>
      </w:r>
      <w:r w:rsidR="002B5EC5">
        <w:rPr>
          <w:b/>
          <w:color w:val="E36C0A" w:themeColor="accent6" w:themeShade="BF"/>
          <w:sz w:val="16"/>
          <w:szCs w:val="16"/>
        </w:rPr>
        <w:t>0</w:t>
      </w:r>
      <w:r>
        <w:rPr>
          <w:b/>
          <w:color w:val="E36C0A" w:themeColor="accent6" w:themeShade="BF"/>
          <w:sz w:val="16"/>
          <w:szCs w:val="16"/>
        </w:rPr>
        <w:t>, FM</w:t>
      </w:r>
      <w:r w:rsidR="002B5EC5">
        <w:rPr>
          <w:b/>
          <w:color w:val="E36C0A" w:themeColor="accent6" w:themeShade="BF"/>
          <w:sz w:val="16"/>
          <w:szCs w:val="16"/>
        </w:rPr>
        <w:t>1</w:t>
      </w:r>
      <w:r>
        <w:rPr>
          <w:b/>
          <w:color w:val="E36C0A" w:themeColor="accent6" w:themeShade="BF"/>
          <w:sz w:val="16"/>
          <w:szCs w:val="16"/>
        </w:rPr>
        <w:t>, UV-C LED, ZK1</w:t>
      </w:r>
      <w:r>
        <w:rPr>
          <w:b/>
          <w:sz w:val="16"/>
          <w:szCs w:val="16"/>
        </w:rPr>
        <w:t xml:space="preserve">) </w:t>
      </w:r>
      <w:r>
        <w:rPr>
          <w:noProof/>
          <w:lang w:eastAsia="cs-CZ"/>
        </w:rPr>
        <w:drawing>
          <wp:inline distT="0" distB="0" distL="0" distR="0">
            <wp:extent cx="153670" cy="128270"/>
            <wp:effectExtent l="0" t="0" r="0" b="0"/>
            <wp:docPr id="28" name="Obrázek 29" descr="C:\Users\admin\AppData\Local\Microsoft\Windows\INetCache\Content.Outlook\CM2G4B07\FotkyFoto_modry-vykricnik-varovani-dopravni-znacka_4348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9" descr="C:\Users\admin\AppData\Local\Microsoft\Windows\INetCache\Content.Outlook\CM2G4B07\FotkyFoto_modry-vykricnik-varovani-dopravni-znacka_4348772.jpg"/>
                    <pic:cNvPicPr>
                      <a:picLocks noChangeAspect="1" noChangeArrowheads="1"/>
                    </pic:cNvPicPr>
                  </pic:nvPicPr>
                  <pic:blipFill>
                    <a:blip r:embed="rId52"/>
                    <a:stretch>
                      <a:fillRect/>
                    </a:stretch>
                  </pic:blipFill>
                  <pic:spPr bwMode="auto">
                    <a:xfrm>
                      <a:off x="0" y="0"/>
                      <a:ext cx="153670" cy="128270"/>
                    </a:xfrm>
                    <a:prstGeom prst="rect">
                      <a:avLst/>
                    </a:prstGeom>
                  </pic:spPr>
                </pic:pic>
              </a:graphicData>
            </a:graphic>
          </wp:inline>
        </w:drawing>
      </w:r>
    </w:p>
    <w:p w:rsidR="00287B1D" w:rsidRDefault="00BB6CB9">
      <w:pPr>
        <w:spacing w:after="0"/>
        <w:ind w:left="-567" w:right="284"/>
        <w:jc w:val="both"/>
        <w:rPr>
          <w:b/>
          <w:sz w:val="16"/>
          <w:szCs w:val="16"/>
        </w:rPr>
      </w:pPr>
      <w:proofErr w:type="gramStart"/>
      <w:r>
        <w:rPr>
          <w:b/>
          <w:sz w:val="16"/>
          <w:szCs w:val="16"/>
        </w:rPr>
        <w:t>*</w:t>
      </w:r>
      <w:r>
        <w:rPr>
          <w:b/>
          <w:sz w:val="16"/>
          <w:szCs w:val="16"/>
          <w:vertAlign w:val="superscript"/>
        </w:rPr>
        <w:t>1</w:t>
      </w:r>
      <w:r>
        <w:rPr>
          <w:b/>
          <w:sz w:val="16"/>
          <w:szCs w:val="16"/>
        </w:rPr>
        <w:t xml:space="preserve">     Chybí</w:t>
      </w:r>
      <w:proofErr w:type="gramEnd"/>
      <w:r>
        <w:rPr>
          <w:b/>
          <w:sz w:val="16"/>
          <w:szCs w:val="16"/>
        </w:rPr>
        <w:t xml:space="preserve"> u sedimentačních modelů AQ3 Mini Basic (</w:t>
      </w:r>
      <w:r>
        <w:rPr>
          <w:b/>
          <w:color w:val="76923C" w:themeColor="accent3" w:themeShade="BF"/>
          <w:sz w:val="16"/>
          <w:szCs w:val="16"/>
        </w:rPr>
        <w:t>SV</w:t>
      </w:r>
      <w:r w:rsidR="002B5EC5">
        <w:rPr>
          <w:b/>
          <w:color w:val="76923C" w:themeColor="accent3" w:themeShade="BF"/>
          <w:sz w:val="16"/>
          <w:szCs w:val="16"/>
        </w:rPr>
        <w:t>0</w:t>
      </w:r>
      <w:r>
        <w:rPr>
          <w:b/>
          <w:color w:val="76923C" w:themeColor="accent3" w:themeShade="BF"/>
          <w:sz w:val="16"/>
          <w:szCs w:val="16"/>
        </w:rPr>
        <w:t>NC, SV</w:t>
      </w:r>
      <w:r w:rsidR="002B5EC5">
        <w:rPr>
          <w:b/>
          <w:color w:val="76923C" w:themeColor="accent3" w:themeShade="BF"/>
          <w:sz w:val="16"/>
          <w:szCs w:val="16"/>
        </w:rPr>
        <w:t>1</w:t>
      </w:r>
      <w:r>
        <w:rPr>
          <w:b/>
          <w:color w:val="76923C" w:themeColor="accent3" w:themeShade="BF"/>
          <w:sz w:val="16"/>
          <w:szCs w:val="16"/>
        </w:rPr>
        <w:t>NC, PS</w:t>
      </w:r>
      <w:r w:rsidR="002B5EC5">
        <w:rPr>
          <w:b/>
          <w:color w:val="76923C" w:themeColor="accent3" w:themeShade="BF"/>
          <w:sz w:val="16"/>
          <w:szCs w:val="16"/>
        </w:rPr>
        <w:t>0</w:t>
      </w:r>
      <w:r>
        <w:rPr>
          <w:b/>
          <w:color w:val="76923C" w:themeColor="accent3" w:themeShade="BF"/>
          <w:sz w:val="16"/>
          <w:szCs w:val="16"/>
        </w:rPr>
        <w:t>, FM</w:t>
      </w:r>
      <w:r w:rsidR="002B5EC5">
        <w:rPr>
          <w:b/>
          <w:color w:val="76923C" w:themeColor="accent3" w:themeShade="BF"/>
          <w:sz w:val="16"/>
          <w:szCs w:val="16"/>
        </w:rPr>
        <w:t>0</w:t>
      </w:r>
      <w:r>
        <w:rPr>
          <w:b/>
          <w:color w:val="76923C" w:themeColor="accent3" w:themeShade="BF"/>
          <w:sz w:val="16"/>
          <w:szCs w:val="16"/>
        </w:rPr>
        <w:t>, ZK2</w:t>
      </w:r>
      <w:r>
        <w:rPr>
          <w:b/>
          <w:sz w:val="16"/>
          <w:szCs w:val="16"/>
        </w:rPr>
        <w:t xml:space="preserve">) </w:t>
      </w:r>
      <w:r>
        <w:rPr>
          <w:noProof/>
          <w:lang w:eastAsia="cs-CZ"/>
        </w:rPr>
        <w:drawing>
          <wp:inline distT="0" distB="0" distL="0" distR="0">
            <wp:extent cx="153670" cy="128270"/>
            <wp:effectExtent l="0" t="0" r="0" b="0"/>
            <wp:docPr id="29" name="Obrázek 70" descr="C:\Users\admin\AppData\Local\Microsoft\Windows\INetCache\Content.Outlook\CM2G4B07\FotkyFoto_modry-vykricnik-varovani-dopravni-znacka_4348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70" descr="C:\Users\admin\AppData\Local\Microsoft\Windows\INetCache\Content.Outlook\CM2G4B07\FotkyFoto_modry-vykricnik-varovani-dopravni-znacka_4348772.jpg"/>
                    <pic:cNvPicPr>
                      <a:picLocks noChangeAspect="1" noChangeArrowheads="1"/>
                    </pic:cNvPicPr>
                  </pic:nvPicPr>
                  <pic:blipFill>
                    <a:blip r:embed="rId52"/>
                    <a:stretch>
                      <a:fillRect/>
                    </a:stretch>
                  </pic:blipFill>
                  <pic:spPr bwMode="auto">
                    <a:xfrm>
                      <a:off x="0" y="0"/>
                      <a:ext cx="153670" cy="128270"/>
                    </a:xfrm>
                    <a:prstGeom prst="rect">
                      <a:avLst/>
                    </a:prstGeom>
                  </pic:spPr>
                </pic:pic>
              </a:graphicData>
            </a:graphic>
          </wp:inline>
        </w:drawing>
      </w:r>
    </w:p>
    <w:p w:rsidR="00287B1D" w:rsidRDefault="00BB6CB9">
      <w:pPr>
        <w:spacing w:after="0"/>
        <w:ind w:left="-567" w:right="284"/>
        <w:jc w:val="both"/>
        <w:rPr>
          <w:b/>
          <w:sz w:val="16"/>
          <w:szCs w:val="16"/>
        </w:rPr>
      </w:pPr>
      <w:proofErr w:type="gramStart"/>
      <w:r>
        <w:rPr>
          <w:b/>
          <w:sz w:val="16"/>
          <w:szCs w:val="16"/>
        </w:rPr>
        <w:t>**    Chybí</w:t>
      </w:r>
      <w:proofErr w:type="gramEnd"/>
      <w:r>
        <w:rPr>
          <w:b/>
          <w:sz w:val="16"/>
          <w:szCs w:val="16"/>
        </w:rPr>
        <w:t xml:space="preserve"> u modelů 1 (SV</w:t>
      </w:r>
      <w:r w:rsidR="001C4F2C">
        <w:rPr>
          <w:b/>
          <w:sz w:val="16"/>
          <w:szCs w:val="16"/>
        </w:rPr>
        <w:t>0</w:t>
      </w:r>
      <w:r>
        <w:rPr>
          <w:b/>
          <w:sz w:val="16"/>
          <w:szCs w:val="16"/>
        </w:rPr>
        <w:t>NC, SV</w:t>
      </w:r>
      <w:r w:rsidR="001C4F2C">
        <w:rPr>
          <w:b/>
          <w:sz w:val="16"/>
          <w:szCs w:val="16"/>
        </w:rPr>
        <w:t>1</w:t>
      </w:r>
      <w:r>
        <w:rPr>
          <w:b/>
          <w:sz w:val="16"/>
          <w:szCs w:val="16"/>
        </w:rPr>
        <w:t>NC, PS</w:t>
      </w:r>
      <w:r w:rsidR="001C4F2C">
        <w:rPr>
          <w:b/>
          <w:sz w:val="16"/>
          <w:szCs w:val="16"/>
        </w:rPr>
        <w:t>0</w:t>
      </w:r>
      <w:r>
        <w:rPr>
          <w:b/>
          <w:sz w:val="16"/>
          <w:szCs w:val="16"/>
        </w:rPr>
        <w:t xml:space="preserve">, ZK2) </w:t>
      </w:r>
      <w:r>
        <w:rPr>
          <w:noProof/>
          <w:lang w:eastAsia="cs-CZ"/>
        </w:rPr>
        <w:drawing>
          <wp:inline distT="0" distB="0" distL="0" distR="0">
            <wp:extent cx="153670" cy="128270"/>
            <wp:effectExtent l="0" t="0" r="0" b="0"/>
            <wp:docPr id="30" name="Obrázek 31" descr="C:\Users\admin\AppData\Local\Microsoft\Windows\INetCache\Content.Outlook\CM2G4B07\FotkyFoto_modry-vykricnik-varovani-dopravni-znacka_4348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1" descr="C:\Users\admin\AppData\Local\Microsoft\Windows\INetCache\Content.Outlook\CM2G4B07\FotkyFoto_modry-vykricnik-varovani-dopravni-znacka_4348772.jpg"/>
                    <pic:cNvPicPr>
                      <a:picLocks noChangeAspect="1" noChangeArrowheads="1"/>
                    </pic:cNvPicPr>
                  </pic:nvPicPr>
                  <pic:blipFill>
                    <a:blip r:embed="rId52"/>
                    <a:stretch>
                      <a:fillRect/>
                    </a:stretch>
                  </pic:blipFill>
                  <pic:spPr bwMode="auto">
                    <a:xfrm>
                      <a:off x="0" y="0"/>
                      <a:ext cx="153670" cy="128270"/>
                    </a:xfrm>
                    <a:prstGeom prst="rect">
                      <a:avLst/>
                    </a:prstGeom>
                  </pic:spPr>
                </pic:pic>
              </a:graphicData>
            </a:graphic>
          </wp:inline>
        </w:drawing>
      </w:r>
    </w:p>
    <w:p w:rsidR="00287B1D" w:rsidRDefault="00BB6CB9">
      <w:pPr>
        <w:spacing w:after="0"/>
        <w:ind w:left="-567" w:right="284"/>
        <w:jc w:val="both"/>
        <w:rPr>
          <w:b/>
          <w:sz w:val="16"/>
          <w:szCs w:val="16"/>
        </w:rPr>
      </w:pPr>
      <w:proofErr w:type="gramStart"/>
      <w:r>
        <w:rPr>
          <w:b/>
          <w:sz w:val="16"/>
          <w:szCs w:val="16"/>
        </w:rPr>
        <w:t>***    Platí</w:t>
      </w:r>
      <w:proofErr w:type="gramEnd"/>
      <w:r>
        <w:rPr>
          <w:b/>
          <w:sz w:val="16"/>
          <w:szCs w:val="16"/>
        </w:rPr>
        <w:t xml:space="preserve"> pro sedimentační modely AQ3 Mini Basic  </w:t>
      </w:r>
      <w:r>
        <w:rPr>
          <w:noProof/>
          <w:lang w:eastAsia="cs-CZ"/>
        </w:rPr>
        <w:drawing>
          <wp:inline distT="0" distB="0" distL="0" distR="0">
            <wp:extent cx="153670" cy="128270"/>
            <wp:effectExtent l="0" t="0" r="0" b="0"/>
            <wp:docPr id="31" name="Obrázek 32" descr="C:\Users\admin\AppData\Local\Microsoft\Windows\INetCache\Content.Outlook\CM2G4B07\FotkyFoto_modry-vykricnik-varovani-dopravni-znacka_4348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2" descr="C:\Users\admin\AppData\Local\Microsoft\Windows\INetCache\Content.Outlook\CM2G4B07\FotkyFoto_modry-vykricnik-varovani-dopravni-znacka_4348772.jpg"/>
                    <pic:cNvPicPr>
                      <a:picLocks noChangeAspect="1" noChangeArrowheads="1"/>
                    </pic:cNvPicPr>
                  </pic:nvPicPr>
                  <pic:blipFill>
                    <a:blip r:embed="rId52"/>
                    <a:stretch>
                      <a:fillRect/>
                    </a:stretch>
                  </pic:blipFill>
                  <pic:spPr bwMode="auto">
                    <a:xfrm>
                      <a:off x="0" y="0"/>
                      <a:ext cx="153670" cy="128270"/>
                    </a:xfrm>
                    <a:prstGeom prst="rect">
                      <a:avLst/>
                    </a:prstGeom>
                  </pic:spPr>
                </pic:pic>
              </a:graphicData>
            </a:graphic>
          </wp:inline>
        </w:drawing>
      </w:r>
    </w:p>
    <w:p w:rsidR="00287B1D" w:rsidRDefault="00BB6CB9">
      <w:pPr>
        <w:spacing w:after="0"/>
        <w:ind w:left="-567" w:right="284"/>
        <w:jc w:val="both"/>
        <w:rPr>
          <w:b/>
        </w:rPr>
      </w:pPr>
      <w:proofErr w:type="gramStart"/>
      <w:r>
        <w:rPr>
          <w:b/>
          <w:sz w:val="16"/>
          <w:szCs w:val="16"/>
        </w:rPr>
        <w:t>****  Použití</w:t>
      </w:r>
      <w:proofErr w:type="gramEnd"/>
      <w:r>
        <w:rPr>
          <w:b/>
          <w:sz w:val="16"/>
          <w:szCs w:val="16"/>
        </w:rPr>
        <w:t xml:space="preserve">  alternativy desinfekčního přípravku</w:t>
      </w:r>
      <w:r>
        <w:rPr>
          <w:b/>
        </w:rPr>
        <w:t xml:space="preserve">    </w:t>
      </w:r>
      <w:r>
        <w:rPr>
          <w:noProof/>
          <w:lang w:eastAsia="cs-CZ"/>
        </w:rPr>
        <w:drawing>
          <wp:inline distT="0" distB="0" distL="0" distR="0">
            <wp:extent cx="163195" cy="125730"/>
            <wp:effectExtent l="0" t="0" r="0" b="0"/>
            <wp:docPr id="32" name="Obrázek 33" descr="C:\Users\admin\AppData\Local\Microsoft\Windows\INetCache\Content.Outlook\CM2G4B07\červené vstražné znamení warning-sign-symbol-computer-icons-clip-art-png-favpng-nxB58Ttm1dHQi70j3XvRcyy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3" descr="C:\Users\admin\AppData\Local\Microsoft\Windows\INetCache\Content.Outlook\CM2G4B07\červené vstražné znamení warning-sign-symbol-computer-icons-clip-art-png-favpng-nxB58Ttm1dHQi70j3XvRcyyDa.jpg"/>
                    <pic:cNvPicPr>
                      <a:picLocks noChangeAspect="1" noChangeArrowheads="1"/>
                    </pic:cNvPicPr>
                  </pic:nvPicPr>
                  <pic:blipFill>
                    <a:blip r:embed="rId53"/>
                    <a:stretch>
                      <a:fillRect/>
                    </a:stretch>
                  </pic:blipFill>
                  <pic:spPr bwMode="auto">
                    <a:xfrm>
                      <a:off x="0" y="0"/>
                      <a:ext cx="163195" cy="125730"/>
                    </a:xfrm>
                    <a:prstGeom prst="rect">
                      <a:avLst/>
                    </a:prstGeom>
                  </pic:spPr>
                </pic:pic>
              </a:graphicData>
            </a:graphic>
          </wp:inline>
        </w:drawing>
      </w:r>
      <w:r>
        <w:rPr>
          <w:b/>
        </w:rPr>
        <w:t xml:space="preserve"> </w:t>
      </w:r>
      <w:r>
        <w:rPr>
          <w:noProof/>
          <w:lang w:eastAsia="cs-CZ"/>
        </w:rPr>
        <w:drawing>
          <wp:inline distT="0" distB="0" distL="0" distR="0">
            <wp:extent cx="173990" cy="144780"/>
            <wp:effectExtent l="0" t="0" r="0" b="0"/>
            <wp:docPr id="33" name="Obrázek 34" descr="C:\Users\admin\AppData\Local\Microsoft\Windows\INetCache\Content.Outlook\CM2G4B07\oranžové výstražné znamení warning-sign-symbol-computer-icons-clip-art-png-favpng-nxB58Ttm1dHQi70j3XvRcyy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4" descr="C:\Users\admin\AppData\Local\Microsoft\Windows\INetCache\Content.Outlook\CM2G4B07\oranžové výstražné znamení warning-sign-symbol-computer-icons-clip-art-png-favpng-nxB58Ttm1dHQi70j3XvRcyyDa.jpg"/>
                    <pic:cNvPicPr>
                      <a:picLocks noChangeAspect="1" noChangeArrowheads="1"/>
                    </pic:cNvPicPr>
                  </pic:nvPicPr>
                  <pic:blipFill>
                    <a:blip r:embed="rId54"/>
                    <a:stretch>
                      <a:fillRect/>
                    </a:stretch>
                  </pic:blipFill>
                  <pic:spPr bwMode="auto">
                    <a:xfrm flipH="1">
                      <a:off x="0" y="0"/>
                      <a:ext cx="173990" cy="144780"/>
                    </a:xfrm>
                    <a:prstGeom prst="rect">
                      <a:avLst/>
                    </a:prstGeom>
                  </pic:spPr>
                </pic:pic>
              </a:graphicData>
            </a:graphic>
          </wp:inline>
        </w:drawing>
      </w:r>
    </w:p>
    <w:p w:rsidR="00287B1D" w:rsidRDefault="00287B1D">
      <w:pPr>
        <w:spacing w:after="0"/>
        <w:ind w:left="-567" w:right="284"/>
        <w:jc w:val="both"/>
        <w:rPr>
          <w:b/>
        </w:rPr>
      </w:pPr>
    </w:p>
    <w:p w:rsidR="00287B1D" w:rsidRDefault="00BB6CB9">
      <w:pPr>
        <w:ind w:left="-567" w:right="284"/>
        <w:jc w:val="center"/>
        <w:rPr>
          <w:b/>
          <w:i/>
          <w:color w:val="FF0000"/>
          <w:u w:val="single"/>
        </w:rPr>
      </w:pPr>
      <w:r>
        <w:rPr>
          <w:b/>
          <w:i/>
          <w:color w:val="FF0000"/>
          <w:u w:val="single"/>
        </w:rPr>
        <w:t xml:space="preserve">ad 15) </w:t>
      </w:r>
      <w:proofErr w:type="gramStart"/>
      <w:r>
        <w:rPr>
          <w:b/>
          <w:i/>
          <w:color w:val="FF0000"/>
          <w:u w:val="single"/>
        </w:rPr>
        <w:t>Popis  postupu</w:t>
      </w:r>
      <w:proofErr w:type="gramEnd"/>
      <w:r>
        <w:rPr>
          <w:b/>
          <w:i/>
          <w:color w:val="FF0000"/>
          <w:u w:val="single"/>
        </w:rPr>
        <w:t xml:space="preserve"> při desinfekci filtrační technologie</w:t>
      </w:r>
    </w:p>
    <w:p w:rsidR="00287B1D" w:rsidRDefault="00BB6CB9">
      <w:pPr>
        <w:pStyle w:val="Normlnweb"/>
        <w:numPr>
          <w:ilvl w:val="0"/>
          <w:numId w:val="17"/>
        </w:numPr>
        <w:shd w:val="clear" w:color="auto" w:fill="FFFFFF"/>
        <w:tabs>
          <w:tab w:val="clear" w:pos="720"/>
        </w:tabs>
        <w:spacing w:before="120" w:beforeAutospacing="0" w:after="0" w:afterAutospacing="0"/>
        <w:ind w:left="-567" w:right="284" w:hanging="284"/>
        <w:jc w:val="both"/>
        <w:rPr>
          <w:rFonts w:ascii="Verdana" w:hAnsi="Verdana" w:cstheme="minorHAnsi"/>
          <w:color w:val="202122"/>
          <w:sz w:val="22"/>
          <w:szCs w:val="22"/>
        </w:rPr>
      </w:pPr>
      <w:r>
        <w:rPr>
          <w:rFonts w:ascii="Verdana" w:hAnsi="Verdana" w:cstheme="minorHAnsi"/>
          <w:b/>
          <w:i/>
          <w:color w:val="202122"/>
          <w:sz w:val="22"/>
          <w:szCs w:val="22"/>
          <w:u w:val="single"/>
        </w:rPr>
        <w:t>Peroxid vodíku 3</w:t>
      </w:r>
      <w:r>
        <w:rPr>
          <w:rFonts w:ascii="Verdana" w:hAnsi="Verdana" w:cstheme="minorHAnsi"/>
          <w:i/>
          <w:color w:val="202122"/>
          <w:sz w:val="22"/>
          <w:szCs w:val="22"/>
          <w:u w:val="single"/>
        </w:rPr>
        <w:t>%</w:t>
      </w:r>
      <w:r>
        <w:rPr>
          <w:rFonts w:ascii="Verdana" w:hAnsi="Verdana" w:cstheme="minorHAnsi"/>
          <w:b/>
          <w:i/>
          <w:color w:val="202122"/>
          <w:sz w:val="22"/>
          <w:szCs w:val="22"/>
          <w:u w:val="single"/>
        </w:rPr>
        <w:t xml:space="preserve"> - </w:t>
      </w:r>
      <w:r>
        <w:rPr>
          <w:rFonts w:ascii="Verdana" w:hAnsi="Verdana" w:cstheme="minorHAnsi"/>
          <w:b/>
          <w:color w:val="202124"/>
          <w:sz w:val="22"/>
          <w:szCs w:val="22"/>
          <w:u w:val="single"/>
          <w:shd w:val="clear" w:color="auto" w:fill="FFFFFF"/>
        </w:rPr>
        <w:t>H</w:t>
      </w:r>
      <w:r>
        <w:rPr>
          <w:rFonts w:ascii="Verdana" w:hAnsi="Verdana" w:cstheme="minorHAnsi"/>
          <w:b/>
          <w:color w:val="202124"/>
          <w:sz w:val="22"/>
          <w:szCs w:val="22"/>
          <w:u w:val="single"/>
          <w:shd w:val="clear" w:color="auto" w:fill="FFFFFF"/>
          <w:vertAlign w:val="subscript"/>
        </w:rPr>
        <w:t>2</w:t>
      </w:r>
      <w:r>
        <w:rPr>
          <w:rFonts w:ascii="Verdana" w:hAnsi="Verdana" w:cstheme="minorHAnsi"/>
          <w:b/>
          <w:color w:val="202124"/>
          <w:sz w:val="22"/>
          <w:szCs w:val="22"/>
          <w:u w:val="single"/>
          <w:shd w:val="clear" w:color="auto" w:fill="FFFFFF"/>
        </w:rPr>
        <w:t>O</w:t>
      </w:r>
      <w:r>
        <w:rPr>
          <w:rFonts w:ascii="Verdana" w:hAnsi="Verdana" w:cstheme="minorHAnsi"/>
          <w:b/>
          <w:color w:val="202124"/>
          <w:sz w:val="22"/>
          <w:szCs w:val="22"/>
          <w:u w:val="single"/>
          <w:shd w:val="clear" w:color="auto" w:fill="FFFFFF"/>
          <w:vertAlign w:val="subscript"/>
        </w:rPr>
        <w:t>2,</w:t>
      </w:r>
      <w:r>
        <w:rPr>
          <w:rFonts w:ascii="Verdana" w:hAnsi="Verdana" w:cstheme="minorHAnsi"/>
          <w:sz w:val="22"/>
          <w:szCs w:val="22"/>
        </w:rPr>
        <w:t xml:space="preserve"> výtah z Bezpečnostního listu podle nařízení (ES) č. 1907/2006 a ES č.1272/2008, je podle </w:t>
      </w:r>
      <w:hyperlink r:id="rId55" w:tgtFrame="Úřad pro kontrolu potravin a léčiv">
        <w:proofErr w:type="gramStart"/>
        <w:r>
          <w:rPr>
            <w:rStyle w:val="Internetovodkaz"/>
            <w:rFonts w:ascii="Verdana" w:hAnsi="Verdana" w:cstheme="minorHAnsi"/>
            <w:i/>
            <w:color w:val="auto"/>
            <w:sz w:val="22"/>
            <w:szCs w:val="22"/>
          </w:rPr>
          <w:t>FDA</w:t>
        </w:r>
      </w:hyperlink>
      <w:r>
        <w:rPr>
          <w:rFonts w:ascii="Verdana" w:hAnsi="Verdana" w:cstheme="minorHAnsi"/>
          <w:i/>
          <w:sz w:val="22"/>
          <w:szCs w:val="22"/>
        </w:rPr>
        <w:t xml:space="preserve"> – </w:t>
      </w:r>
      <w:r>
        <w:rPr>
          <w:rFonts w:ascii="Verdana" w:hAnsi="Verdana" w:cstheme="minorHAnsi"/>
          <w:i/>
          <w:sz w:val="22"/>
          <w:szCs w:val="22"/>
          <w:shd w:val="clear" w:color="auto" w:fill="FFFFFF"/>
        </w:rPr>
        <w:t>U.S.</w:t>
      </w:r>
      <w:proofErr w:type="gramEnd"/>
      <w:r>
        <w:rPr>
          <w:rFonts w:ascii="Verdana" w:hAnsi="Verdana" w:cstheme="minorHAnsi"/>
          <w:i/>
          <w:sz w:val="22"/>
          <w:szCs w:val="22"/>
          <w:shd w:val="clear" w:color="auto" w:fill="FFFFFF"/>
        </w:rPr>
        <w:t xml:space="preserve"> Food and Drug Administration</w:t>
      </w:r>
      <w:r>
        <w:rPr>
          <w:rFonts w:ascii="Verdana" w:hAnsi="Verdana" w:cstheme="minorHAnsi"/>
          <w:sz w:val="22"/>
          <w:szCs w:val="22"/>
          <w:shd w:val="clear" w:color="auto" w:fill="FFFFFF"/>
        </w:rPr>
        <w:t> </w:t>
      </w:r>
      <w:r>
        <w:rPr>
          <w:rFonts w:ascii="Verdana" w:hAnsi="Verdana" w:cstheme="minorHAnsi"/>
          <w:sz w:val="22"/>
          <w:szCs w:val="22"/>
        </w:rPr>
        <w:t> </w:t>
      </w:r>
      <w:r>
        <w:rPr>
          <w:rFonts w:ascii="Verdana" w:hAnsi="Verdana" w:cstheme="minorHAnsi"/>
          <w:color w:val="202122"/>
          <w:sz w:val="22"/>
          <w:szCs w:val="22"/>
        </w:rPr>
        <w:t>(v </w:t>
      </w:r>
      <w:hyperlink r:id="rId56" w:tgtFrame="Spojené státy americké">
        <w:r>
          <w:rPr>
            <w:rStyle w:val="Internetovodkaz"/>
            <w:rFonts w:ascii="Verdana" w:hAnsi="Verdana" w:cstheme="minorHAnsi"/>
            <w:color w:val="0B0080"/>
            <w:sz w:val="22"/>
            <w:szCs w:val="22"/>
          </w:rPr>
          <w:t>USA</w:t>
        </w:r>
      </w:hyperlink>
      <w:r>
        <w:rPr>
          <w:rFonts w:ascii="Verdana" w:hAnsi="Verdana" w:cstheme="minorHAnsi"/>
          <w:color w:val="202122"/>
          <w:sz w:val="22"/>
          <w:szCs w:val="22"/>
        </w:rPr>
        <w:t>) </w:t>
      </w:r>
      <w:hyperlink r:id="rId57" w:tgtFrame="Všeobecně považovaný za bezpečný">
        <w:r>
          <w:rPr>
            <w:rStyle w:val="Internetovodkaz"/>
            <w:rFonts w:ascii="Verdana" w:hAnsi="Verdana" w:cstheme="minorHAnsi"/>
            <w:i/>
            <w:iCs/>
            <w:color w:val="0B0080"/>
            <w:sz w:val="22"/>
            <w:szCs w:val="22"/>
          </w:rPr>
          <w:t>všeobecně považován za bezpečný</w:t>
        </w:r>
      </w:hyperlink>
      <w:r>
        <w:rPr>
          <w:rFonts w:ascii="Verdana" w:hAnsi="Verdana" w:cstheme="minorHAnsi"/>
          <w:color w:val="202122"/>
          <w:sz w:val="22"/>
          <w:szCs w:val="22"/>
        </w:rPr>
        <w:t> </w:t>
      </w:r>
      <w:r>
        <w:rPr>
          <w:rFonts w:ascii="Verdana" w:hAnsi="Verdana" w:cstheme="minorHAnsi"/>
          <w:sz w:val="22"/>
          <w:szCs w:val="22"/>
        </w:rPr>
        <w:t>(GRAS-</w:t>
      </w:r>
      <w:r>
        <w:rPr>
          <w:rFonts w:ascii="Verdana" w:hAnsi="Verdana" w:cstheme="minorHAnsi"/>
          <w:bCs/>
          <w:sz w:val="22"/>
          <w:szCs w:val="22"/>
          <w:shd w:val="clear" w:color="auto" w:fill="FFFFFF"/>
        </w:rPr>
        <w:t>Generally Recognized as Safe</w:t>
      </w:r>
      <w:r>
        <w:rPr>
          <w:rFonts w:ascii="Verdana" w:hAnsi="Verdana" w:cstheme="minorHAnsi"/>
          <w:sz w:val="22"/>
          <w:szCs w:val="22"/>
        </w:rPr>
        <w:t xml:space="preserve">) jakožto </w:t>
      </w:r>
      <w:r>
        <w:rPr>
          <w:rFonts w:ascii="Verdana" w:hAnsi="Verdana" w:cstheme="minorHAnsi"/>
          <w:b/>
          <w:color w:val="002060"/>
          <w:sz w:val="22"/>
          <w:szCs w:val="22"/>
          <w:u w:val="single"/>
        </w:rPr>
        <w:t>antimikrobiální činidlo</w:t>
      </w:r>
      <w:r>
        <w:rPr>
          <w:rFonts w:ascii="Verdana" w:hAnsi="Verdana" w:cstheme="minorHAnsi"/>
          <w:color w:val="002060"/>
          <w:sz w:val="22"/>
          <w:szCs w:val="22"/>
          <w:u w:val="single"/>
        </w:rPr>
        <w:t xml:space="preserve">, </w:t>
      </w:r>
      <w:r>
        <w:rPr>
          <w:rFonts w:ascii="Verdana" w:hAnsi="Verdana" w:cstheme="minorHAnsi"/>
          <w:b/>
          <w:color w:val="002060"/>
          <w:sz w:val="22"/>
          <w:szCs w:val="22"/>
          <w:u w:val="single"/>
        </w:rPr>
        <w:t>oxidační činidlo</w:t>
      </w:r>
      <w:r>
        <w:rPr>
          <w:rFonts w:ascii="Verdana" w:hAnsi="Verdana" w:cstheme="minorHAnsi"/>
          <w:color w:val="002060"/>
          <w:sz w:val="22"/>
          <w:szCs w:val="22"/>
        </w:rPr>
        <w:t xml:space="preserve"> </w:t>
      </w:r>
      <w:r>
        <w:rPr>
          <w:rFonts w:ascii="Verdana" w:hAnsi="Verdana" w:cstheme="minorHAnsi"/>
          <w:color w:val="202122"/>
          <w:sz w:val="22"/>
          <w:szCs w:val="22"/>
        </w:rPr>
        <w:t xml:space="preserve">a pro jiné účely schválené FDA. </w:t>
      </w:r>
    </w:p>
    <w:p w:rsidR="00287B1D" w:rsidRDefault="00BB6CB9">
      <w:pPr>
        <w:pStyle w:val="Normlnweb"/>
        <w:numPr>
          <w:ilvl w:val="0"/>
          <w:numId w:val="17"/>
        </w:numPr>
        <w:shd w:val="clear" w:color="auto" w:fill="FFFFFF"/>
        <w:tabs>
          <w:tab w:val="clear" w:pos="720"/>
        </w:tabs>
        <w:spacing w:before="120" w:beforeAutospacing="0" w:after="120" w:afterAutospacing="0"/>
        <w:ind w:left="-567" w:right="284" w:hanging="284"/>
        <w:jc w:val="both"/>
        <w:rPr>
          <w:rFonts w:ascii="Verdana" w:hAnsi="Verdana" w:cstheme="minorHAnsi"/>
          <w:i/>
          <w:color w:val="FF0000"/>
          <w:sz w:val="22"/>
          <w:szCs w:val="22"/>
        </w:rPr>
      </w:pPr>
      <w:r>
        <w:rPr>
          <w:rFonts w:ascii="Verdana" w:hAnsi="Verdana" w:cstheme="minorHAnsi"/>
          <w:color w:val="202122"/>
          <w:sz w:val="22"/>
          <w:szCs w:val="22"/>
        </w:rPr>
        <w:t>Peroxid vodíku se díky svému oxidačnímu účinku používá po řadu let jako </w:t>
      </w:r>
      <w:hyperlink r:id="rId58" w:tgtFrame="Antiseptikum">
        <w:r>
          <w:rPr>
            <w:rStyle w:val="Internetovodkaz"/>
            <w:rFonts w:ascii="Verdana" w:hAnsi="Verdana" w:cstheme="minorHAnsi"/>
            <w:b/>
            <w:color w:val="0B0080"/>
            <w:sz w:val="22"/>
            <w:szCs w:val="22"/>
          </w:rPr>
          <w:t>antiseptikum</w:t>
        </w:r>
      </w:hyperlink>
      <w:r>
        <w:rPr>
          <w:rFonts w:ascii="Verdana" w:hAnsi="Verdana" w:cstheme="minorHAnsi"/>
          <w:color w:val="202122"/>
          <w:sz w:val="22"/>
          <w:szCs w:val="22"/>
        </w:rPr>
        <w:t> a </w:t>
      </w:r>
      <w:hyperlink r:id="rId59" w:tgtFrame="Dezinfekce">
        <w:r>
          <w:rPr>
            <w:rStyle w:val="Internetovodkaz"/>
            <w:rFonts w:ascii="Verdana" w:hAnsi="Verdana" w:cstheme="minorHAnsi"/>
            <w:b/>
            <w:color w:val="0B0080"/>
            <w:sz w:val="22"/>
            <w:szCs w:val="22"/>
          </w:rPr>
          <w:t>dezinficiens</w:t>
        </w:r>
      </w:hyperlink>
      <w:r>
        <w:rPr>
          <w:rFonts w:ascii="Verdana" w:hAnsi="Verdana" w:cstheme="minorHAnsi"/>
          <w:color w:val="202122"/>
          <w:sz w:val="22"/>
          <w:szCs w:val="22"/>
        </w:rPr>
        <w:t xml:space="preserve">. </w:t>
      </w:r>
      <w:r>
        <w:rPr>
          <w:rFonts w:ascii="Verdana" w:hAnsi="Verdana" w:cstheme="minorHAnsi"/>
          <w:i/>
          <w:color w:val="FF0000"/>
          <w:sz w:val="22"/>
          <w:szCs w:val="22"/>
        </w:rPr>
        <w:t xml:space="preserve">Používá se v 1 - 3% koncentraci, kdy se roztok naplní do filtračního systému, ponechá cca ½ až 1 hodinu působit a následně se vícekrát propláchne čistou vodou. </w:t>
      </w:r>
    </w:p>
    <w:p w:rsidR="00287B1D" w:rsidRDefault="00BB6CB9">
      <w:pPr>
        <w:pStyle w:val="Normlnweb"/>
        <w:numPr>
          <w:ilvl w:val="0"/>
          <w:numId w:val="7"/>
        </w:numPr>
        <w:shd w:val="clear" w:color="auto" w:fill="FFFFFF"/>
        <w:tabs>
          <w:tab w:val="clear" w:pos="720"/>
        </w:tabs>
        <w:spacing w:before="120" w:beforeAutospacing="0" w:after="0" w:afterAutospacing="0"/>
        <w:ind w:left="-567" w:right="284" w:hanging="284"/>
        <w:jc w:val="both"/>
        <w:rPr>
          <w:rFonts w:ascii="Verdana" w:hAnsi="Verdana" w:cstheme="minorHAnsi"/>
          <w:sz w:val="22"/>
          <w:szCs w:val="22"/>
          <w:highlight w:val="white"/>
        </w:rPr>
      </w:pPr>
      <w:r>
        <w:rPr>
          <w:rFonts w:ascii="Verdana" w:hAnsi="Verdana" w:cstheme="minorHAnsi"/>
          <w:b/>
          <w:color w:val="202122"/>
          <w:sz w:val="22"/>
          <w:szCs w:val="22"/>
        </w:rPr>
        <w:t>Doporučení:</w:t>
      </w:r>
      <w:r>
        <w:rPr>
          <w:rFonts w:ascii="Verdana" w:hAnsi="Verdana" w:cstheme="minorHAnsi"/>
          <w:color w:val="202122"/>
          <w:sz w:val="22"/>
          <w:szCs w:val="22"/>
        </w:rPr>
        <w:t xml:space="preserve"> </w:t>
      </w:r>
      <w:r>
        <w:rPr>
          <w:rFonts w:ascii="Verdana" w:hAnsi="Verdana" w:cstheme="minorHAnsi"/>
          <w:sz w:val="22"/>
          <w:szCs w:val="22"/>
          <w:shd w:val="clear" w:color="auto" w:fill="FFFFFF"/>
        </w:rPr>
        <w:t>Ve vysokých koncentracích je peroxid vodíku agresivní </w:t>
      </w:r>
      <w:hyperlink r:id="rId60" w:tgtFrame="Oxidační činidlo">
        <w:r>
          <w:rPr>
            <w:rStyle w:val="Internetovodkaz"/>
            <w:rFonts w:ascii="Verdana" w:hAnsi="Verdana" w:cstheme="minorHAnsi"/>
            <w:sz w:val="22"/>
            <w:szCs w:val="22"/>
            <w:highlight w:val="white"/>
          </w:rPr>
          <w:t>oxidant</w:t>
        </w:r>
      </w:hyperlink>
      <w:r>
        <w:rPr>
          <w:rFonts w:ascii="Verdana" w:hAnsi="Verdana" w:cstheme="minorHAnsi"/>
          <w:sz w:val="22"/>
          <w:szCs w:val="22"/>
          <w:shd w:val="clear" w:color="auto" w:fill="FFFFFF"/>
        </w:rPr>
        <w:t> a poškozuje mnoho materiálů včetně lidské </w:t>
      </w:r>
      <w:hyperlink r:id="rId61" w:tgtFrame="Kůže">
        <w:r>
          <w:rPr>
            <w:rStyle w:val="Internetovodkaz"/>
            <w:rFonts w:ascii="Verdana" w:hAnsi="Verdana" w:cstheme="minorHAnsi"/>
            <w:sz w:val="22"/>
            <w:szCs w:val="22"/>
            <w:highlight w:val="white"/>
          </w:rPr>
          <w:t>kůže</w:t>
        </w:r>
      </w:hyperlink>
      <w:r>
        <w:rPr>
          <w:rFonts w:ascii="Verdana" w:hAnsi="Verdana" w:cstheme="minorHAnsi"/>
          <w:sz w:val="22"/>
          <w:szCs w:val="22"/>
          <w:shd w:val="clear" w:color="auto" w:fill="FFFFFF"/>
        </w:rPr>
        <w:t>. M</w:t>
      </w:r>
      <w:r>
        <w:rPr>
          <w:rFonts w:ascii="Verdana" w:hAnsi="Verdana" w:cstheme="minorHAnsi"/>
          <w:sz w:val="22"/>
          <w:szCs w:val="22"/>
        </w:rPr>
        <w:t xml:space="preserve">anipulujte s Peroxidem vodíku v jednorázových latexových rukavicích a ochranných brýlích. </w:t>
      </w:r>
    </w:p>
    <w:p w:rsidR="00287B1D" w:rsidRDefault="00BB6CB9">
      <w:pPr>
        <w:pStyle w:val="Normlnweb"/>
        <w:numPr>
          <w:ilvl w:val="0"/>
          <w:numId w:val="7"/>
        </w:numPr>
        <w:shd w:val="clear" w:color="auto" w:fill="FFFFFF"/>
        <w:tabs>
          <w:tab w:val="clear" w:pos="720"/>
        </w:tabs>
        <w:spacing w:before="120" w:beforeAutospacing="0" w:after="0" w:afterAutospacing="0"/>
        <w:ind w:left="-567" w:right="284" w:hanging="284"/>
        <w:jc w:val="both"/>
        <w:rPr>
          <w:rFonts w:ascii="Verdana" w:hAnsi="Verdana" w:cstheme="minorHAnsi"/>
          <w:sz w:val="22"/>
          <w:szCs w:val="22"/>
          <w:highlight w:val="white"/>
        </w:rPr>
      </w:pPr>
      <w:r>
        <w:rPr>
          <w:rFonts w:ascii="Verdana" w:hAnsi="Verdana" w:cstheme="minorHAnsi"/>
          <w:sz w:val="22"/>
          <w:szCs w:val="22"/>
          <w:shd w:val="clear" w:color="auto" w:fill="FFFFFF"/>
        </w:rPr>
        <w:t>Desinfekci provádějte ve větrané místnosti. Peroxid vodíku by se měl skladovat na chladném, suchém, tmavém, dobře větraném místě, bez přítomnosti </w:t>
      </w:r>
      <w:hyperlink r:id="rId62" w:tgtFrame="Hořlavina">
        <w:r>
          <w:rPr>
            <w:rStyle w:val="Internetovodkaz"/>
            <w:rFonts w:ascii="Verdana" w:hAnsi="Verdana" w:cstheme="minorHAnsi"/>
            <w:sz w:val="22"/>
            <w:szCs w:val="22"/>
            <w:highlight w:val="white"/>
          </w:rPr>
          <w:t>hořlavých</w:t>
        </w:r>
      </w:hyperlink>
      <w:r>
        <w:rPr>
          <w:rFonts w:ascii="Verdana" w:hAnsi="Verdana" w:cstheme="minorHAnsi"/>
          <w:sz w:val="22"/>
          <w:szCs w:val="22"/>
          <w:shd w:val="clear" w:color="auto" w:fill="FFFFFF"/>
        </w:rPr>
        <w:t> nebo zápalných látek. </w:t>
      </w:r>
    </w:p>
    <w:p w:rsidR="00287B1D" w:rsidRDefault="00BB6CB9">
      <w:pPr>
        <w:pStyle w:val="Normlnweb"/>
        <w:numPr>
          <w:ilvl w:val="0"/>
          <w:numId w:val="7"/>
        </w:numPr>
        <w:shd w:val="clear" w:color="auto" w:fill="FFFFFF"/>
        <w:tabs>
          <w:tab w:val="clear" w:pos="720"/>
        </w:tabs>
        <w:spacing w:before="120" w:beforeAutospacing="0" w:after="120" w:afterAutospacing="0"/>
        <w:ind w:left="-567" w:right="284" w:hanging="284"/>
        <w:jc w:val="both"/>
        <w:rPr>
          <w:rFonts w:ascii="Verdana" w:hAnsi="Verdana" w:cstheme="minorHAnsi"/>
          <w:sz w:val="22"/>
          <w:szCs w:val="22"/>
          <w:highlight w:val="white"/>
        </w:rPr>
      </w:pPr>
      <w:r>
        <w:rPr>
          <w:rFonts w:ascii="Verdana" w:hAnsi="Verdana" w:cstheme="minorHAnsi"/>
          <w:sz w:val="22"/>
          <w:szCs w:val="22"/>
          <w:shd w:val="clear" w:color="auto" w:fill="FFFFFF"/>
        </w:rPr>
        <w:t>Měl by být uložen v nádobě z nereaktivních materiálů, například </w:t>
      </w:r>
      <w:hyperlink r:id="rId63" w:tgtFrame="Korozivzdorná ocel">
        <w:r>
          <w:rPr>
            <w:rStyle w:val="Internetovodkaz"/>
            <w:rFonts w:ascii="Verdana" w:hAnsi="Verdana" w:cstheme="minorHAnsi"/>
            <w:sz w:val="22"/>
            <w:szCs w:val="22"/>
            <w:highlight w:val="white"/>
          </w:rPr>
          <w:t>korozivzdorné oceli</w:t>
        </w:r>
      </w:hyperlink>
      <w:r>
        <w:rPr>
          <w:rFonts w:ascii="Verdana" w:hAnsi="Verdana" w:cstheme="minorHAnsi"/>
          <w:sz w:val="22"/>
          <w:szCs w:val="22"/>
          <w:shd w:val="clear" w:color="auto" w:fill="FFFFFF"/>
        </w:rPr>
        <w:t> nebo </w:t>
      </w:r>
      <w:hyperlink r:id="rId64" w:tgtFrame="Sklo">
        <w:r>
          <w:rPr>
            <w:rStyle w:val="Internetovodkaz"/>
            <w:rFonts w:ascii="Verdana" w:hAnsi="Verdana" w:cstheme="minorHAnsi"/>
            <w:sz w:val="22"/>
            <w:szCs w:val="22"/>
            <w:highlight w:val="white"/>
          </w:rPr>
          <w:t>skla</w:t>
        </w:r>
      </w:hyperlink>
      <w:r>
        <w:rPr>
          <w:rFonts w:ascii="Verdana" w:hAnsi="Verdana" w:cstheme="minorHAnsi"/>
          <w:sz w:val="22"/>
          <w:szCs w:val="22"/>
          <w:shd w:val="clear" w:color="auto" w:fill="FFFFFF"/>
        </w:rPr>
        <w:t> (mohou být vhodné i jiné materiály, například </w:t>
      </w:r>
      <w:hyperlink r:id="rId65" w:tgtFrame="Plast">
        <w:r>
          <w:rPr>
            <w:rStyle w:val="Internetovodkaz"/>
            <w:rFonts w:ascii="Verdana" w:hAnsi="Verdana" w:cstheme="minorHAnsi"/>
            <w:sz w:val="22"/>
            <w:szCs w:val="22"/>
            <w:highlight w:val="white"/>
          </w:rPr>
          <w:t>plasty</w:t>
        </w:r>
      </w:hyperlink>
      <w:r>
        <w:rPr>
          <w:rFonts w:ascii="Verdana" w:hAnsi="Verdana" w:cstheme="minorHAnsi"/>
          <w:sz w:val="22"/>
          <w:szCs w:val="22"/>
          <w:shd w:val="clear" w:color="auto" w:fill="FFFFFF"/>
        </w:rPr>
        <w:t> nebo </w:t>
      </w:r>
      <w:hyperlink r:id="rId66" w:tgtFrame="Slitiny hliníku">
        <w:r>
          <w:rPr>
            <w:rStyle w:val="Internetovodkaz"/>
            <w:rFonts w:ascii="Verdana" w:hAnsi="Verdana" w:cstheme="minorHAnsi"/>
            <w:sz w:val="22"/>
            <w:szCs w:val="22"/>
            <w:highlight w:val="white"/>
          </w:rPr>
          <w:t>hliníkové slitiny</w:t>
        </w:r>
      </w:hyperlink>
      <w:r>
        <w:rPr>
          <w:rFonts w:ascii="Verdana" w:hAnsi="Verdana" w:cstheme="minorHAnsi"/>
          <w:sz w:val="22"/>
          <w:szCs w:val="22"/>
          <w:shd w:val="clear" w:color="auto" w:fill="FFFFFF"/>
        </w:rPr>
        <w:t>). </w:t>
      </w:r>
    </w:p>
    <w:p w:rsidR="00287B1D" w:rsidRDefault="00BB6CB9">
      <w:pPr>
        <w:pStyle w:val="Normlnweb"/>
        <w:shd w:val="clear" w:color="auto" w:fill="FFFFFF"/>
        <w:spacing w:before="120" w:beforeAutospacing="0" w:after="120" w:afterAutospacing="0"/>
        <w:ind w:left="-709" w:right="284" w:firstLine="1275"/>
        <w:jc w:val="both"/>
        <w:rPr>
          <w:rFonts w:ascii="Verdana" w:hAnsi="Verdana" w:cstheme="minorHAnsi"/>
          <w:sz w:val="22"/>
          <w:szCs w:val="22"/>
          <w:highlight w:val="white"/>
        </w:rPr>
      </w:pPr>
      <w:r>
        <w:rPr>
          <w:rFonts w:ascii="Verdana" w:hAnsi="Verdana" w:cstheme="minorHAnsi"/>
          <w:sz w:val="22"/>
          <w:szCs w:val="22"/>
          <w:shd w:val="clear" w:color="auto" w:fill="FFFFFF"/>
        </w:rPr>
        <w:t xml:space="preserve">Vzhledem k rychlému rozkladu při expozici  na </w:t>
      </w:r>
      <w:hyperlink r:id="rId67" w:tgtFrame="Světlo">
        <w:r>
          <w:rPr>
            <w:rStyle w:val="Internetovodkaz"/>
            <w:rFonts w:ascii="Verdana" w:hAnsi="Verdana" w:cstheme="minorHAnsi"/>
            <w:color w:val="0000FF"/>
            <w:sz w:val="22"/>
            <w:szCs w:val="22"/>
            <w:highlight w:val="white"/>
          </w:rPr>
          <w:t>světl</w:t>
        </w:r>
      </w:hyperlink>
      <w:r>
        <w:rPr>
          <w:rFonts w:ascii="Verdana" w:hAnsi="Verdana" w:cstheme="minorHAnsi"/>
          <w:color w:val="0000FF"/>
          <w:sz w:val="22"/>
          <w:szCs w:val="22"/>
          <w:u w:val="single"/>
        </w:rPr>
        <w:t>e</w:t>
      </w:r>
      <w:r>
        <w:rPr>
          <w:rFonts w:ascii="Verdana" w:hAnsi="Verdana" w:cstheme="minorHAnsi"/>
          <w:sz w:val="22"/>
          <w:szCs w:val="22"/>
        </w:rPr>
        <w:t>,</w:t>
      </w:r>
      <w:r>
        <w:rPr>
          <w:rFonts w:ascii="Verdana" w:hAnsi="Verdana" w:cstheme="minorHAnsi"/>
          <w:sz w:val="22"/>
          <w:szCs w:val="22"/>
          <w:shd w:val="clear" w:color="auto" w:fill="FFFFFF"/>
        </w:rPr>
        <w:t xml:space="preserve"> by měl být peroxid vodíku uchováván v neprůhledné nádobě; farmaceuticky připravené roztoky často bývají v tmavě hnědých lahvích. </w:t>
      </w:r>
    </w:p>
    <w:p w:rsidR="00287B1D" w:rsidRDefault="00BB6CB9">
      <w:pPr>
        <w:pStyle w:val="Normlnweb"/>
        <w:shd w:val="clear" w:color="auto" w:fill="FFFFFF"/>
        <w:spacing w:before="120" w:beforeAutospacing="0" w:after="120" w:afterAutospacing="0"/>
        <w:ind w:left="-709" w:right="284" w:firstLine="1275"/>
        <w:jc w:val="both"/>
        <w:rPr>
          <w:rFonts w:ascii="Verdana" w:hAnsi="Verdana" w:cstheme="minorHAnsi"/>
          <w:color w:val="202122"/>
          <w:sz w:val="22"/>
          <w:szCs w:val="22"/>
          <w:highlight w:val="white"/>
        </w:rPr>
      </w:pPr>
      <w:r>
        <w:rPr>
          <w:rFonts w:ascii="Verdana" w:hAnsi="Verdana" w:cstheme="minorHAnsi"/>
          <w:color w:val="202122"/>
          <w:sz w:val="22"/>
          <w:szCs w:val="22"/>
          <w:shd w:val="clear" w:color="auto" w:fill="FFFFFF"/>
        </w:rPr>
        <w:lastRenderedPageBreak/>
        <w:t xml:space="preserve">Větší požitá dávka </w:t>
      </w:r>
      <w:r>
        <w:rPr>
          <w:rFonts w:ascii="Verdana" w:hAnsi="Verdana" w:cstheme="minorHAnsi"/>
          <w:b/>
          <w:color w:val="202122"/>
          <w:sz w:val="22"/>
          <w:szCs w:val="22"/>
          <w:shd w:val="clear" w:color="auto" w:fill="FFFFFF"/>
        </w:rPr>
        <w:t>3</w:t>
      </w:r>
      <w:r>
        <w:rPr>
          <w:rFonts w:ascii="Verdana" w:hAnsi="Verdana" w:cstheme="minorHAnsi"/>
          <w:color w:val="202122"/>
          <w:sz w:val="22"/>
          <w:szCs w:val="22"/>
          <w:shd w:val="clear" w:color="auto" w:fill="FFFFFF"/>
        </w:rPr>
        <w:t>% peroxidu vodíku může způsobit podráždění a zpuchýřování </w:t>
      </w:r>
      <w:hyperlink r:id="rId68" w:tgtFrame="Ústa">
        <w:r>
          <w:rPr>
            <w:rStyle w:val="Internetovodkaz"/>
            <w:rFonts w:ascii="Verdana" w:hAnsi="Verdana" w:cstheme="minorHAnsi"/>
            <w:color w:val="0B0080"/>
            <w:sz w:val="22"/>
            <w:szCs w:val="22"/>
            <w:highlight w:val="white"/>
          </w:rPr>
          <w:t>úst</w:t>
        </w:r>
      </w:hyperlink>
      <w:r>
        <w:rPr>
          <w:rFonts w:ascii="Verdana" w:hAnsi="Verdana" w:cstheme="minorHAnsi"/>
          <w:color w:val="202122"/>
          <w:sz w:val="22"/>
          <w:szCs w:val="22"/>
          <w:shd w:val="clear" w:color="auto" w:fill="FFFFFF"/>
        </w:rPr>
        <w:t>, krku a břišních orgánů, stejně jako bolest břicha, </w:t>
      </w:r>
      <w:hyperlink r:id="rId69" w:tgtFrame="Zvracení">
        <w:r>
          <w:rPr>
            <w:rStyle w:val="Internetovodkaz"/>
            <w:rFonts w:ascii="Verdana" w:hAnsi="Verdana" w:cstheme="minorHAnsi"/>
            <w:sz w:val="22"/>
            <w:szCs w:val="22"/>
            <w:highlight w:val="white"/>
          </w:rPr>
          <w:t>zvracení</w:t>
        </w:r>
      </w:hyperlink>
      <w:r>
        <w:rPr>
          <w:rFonts w:ascii="Verdana" w:hAnsi="Verdana" w:cstheme="minorHAnsi"/>
          <w:sz w:val="22"/>
          <w:szCs w:val="22"/>
          <w:shd w:val="clear" w:color="auto" w:fill="FFFFFF"/>
        </w:rPr>
        <w:t> a </w:t>
      </w:r>
      <w:hyperlink r:id="rId70" w:tgtFrame="Průjem">
        <w:r>
          <w:rPr>
            <w:rStyle w:val="Internetovodkaz"/>
            <w:rFonts w:ascii="Verdana" w:hAnsi="Verdana" w:cstheme="minorHAnsi"/>
            <w:sz w:val="22"/>
            <w:szCs w:val="22"/>
            <w:highlight w:val="white"/>
          </w:rPr>
          <w:t>průjem</w:t>
        </w:r>
      </w:hyperlink>
      <w:r>
        <w:rPr>
          <w:rFonts w:ascii="Verdana" w:hAnsi="Verdana" w:cstheme="minorHAnsi"/>
          <w:color w:val="202122"/>
          <w:sz w:val="22"/>
          <w:szCs w:val="22"/>
          <w:shd w:val="clear" w:color="auto" w:fill="FFFFFF"/>
        </w:rPr>
        <w:t xml:space="preserve">. </w:t>
      </w:r>
    </w:p>
    <w:p w:rsidR="00AB7D93" w:rsidRPr="00AB7D93" w:rsidRDefault="00BB6CB9" w:rsidP="00AB7D93">
      <w:pPr>
        <w:shd w:val="clear" w:color="auto" w:fill="FFFFFF"/>
        <w:ind w:right="567"/>
        <w:jc w:val="both"/>
        <w:rPr>
          <w:lang w:eastAsia="cs-CZ"/>
        </w:rPr>
      </w:pPr>
      <w:r>
        <w:rPr>
          <w:rFonts w:cstheme="minorHAnsi"/>
          <w:color w:val="202122"/>
          <w:shd w:val="clear" w:color="auto" w:fill="FFFFFF"/>
        </w:rPr>
        <w:t>Páry jsou především dráždivé, dráždí hlavně oči a </w:t>
      </w:r>
      <w:hyperlink r:id="rId71" w:tgtFrame="Dýchací soustava">
        <w:r>
          <w:rPr>
            <w:rStyle w:val="Internetovodkaz"/>
            <w:rFonts w:cstheme="minorHAnsi"/>
            <w:highlight w:val="white"/>
          </w:rPr>
          <w:t>dýchací systém</w:t>
        </w:r>
      </w:hyperlink>
      <w:r>
        <w:rPr>
          <w:rFonts w:cstheme="minorHAnsi"/>
          <w:shd w:val="clear" w:color="auto" w:fill="FFFFFF"/>
        </w:rPr>
        <w:t xml:space="preserve">. Bezpečnostní </w:t>
      </w:r>
      <w:proofErr w:type="gramStart"/>
      <w:r>
        <w:rPr>
          <w:rFonts w:cstheme="minorHAnsi"/>
          <w:shd w:val="clear" w:color="auto" w:fill="FFFFFF"/>
        </w:rPr>
        <w:t>list  k Peroxidu</w:t>
      </w:r>
      <w:proofErr w:type="gramEnd"/>
      <w:r>
        <w:rPr>
          <w:rFonts w:cstheme="minorHAnsi"/>
          <w:shd w:val="clear" w:color="auto" w:fill="FFFFFF"/>
        </w:rPr>
        <w:t xml:space="preserve"> vodíku 3% </w:t>
      </w:r>
      <w:r>
        <w:rPr>
          <w:rFonts w:cstheme="minorHAnsi"/>
        </w:rPr>
        <w:t xml:space="preserve">podle nařízení (ES) č. 1907/2006 a ES č.1272/2008 </w:t>
      </w:r>
      <w:r>
        <w:rPr>
          <w:rFonts w:cstheme="minorHAnsi"/>
          <w:shd w:val="clear" w:color="auto" w:fill="FFFFFF"/>
        </w:rPr>
        <w:t xml:space="preserve">je k dispozici  k nahlédnutí nebo ke stažení  na </w:t>
      </w:r>
      <w:hyperlink r:id="rId72">
        <w:r>
          <w:rPr>
            <w:rStyle w:val="Internetovodkaz"/>
            <w:rFonts w:cstheme="minorHAnsi"/>
            <w:highlight w:val="white"/>
          </w:rPr>
          <w:t>http://www.vti-cz.com/ke-stazeni/ke-stazeni-8</w:t>
        </w:r>
      </w:hyperlink>
      <w:r w:rsidR="00AB7D93">
        <w:rPr>
          <w:rStyle w:val="Internetovodkaz"/>
          <w:rFonts w:cstheme="minorHAnsi"/>
          <w:highlight w:val="white"/>
        </w:rPr>
        <w:t xml:space="preserve"> </w:t>
      </w:r>
      <w:r w:rsidR="00AB7D93" w:rsidRPr="00AB7D93">
        <w:rPr>
          <w:lang w:eastAsia="cs-CZ"/>
        </w:rPr>
        <w:t xml:space="preserve">nebo </w:t>
      </w:r>
      <w:hyperlink r:id="rId73" w:history="1">
        <w:r w:rsidR="00AB7D93" w:rsidRPr="00AB7D93">
          <w:rPr>
            <w:rStyle w:val="Hypertextovodkaz"/>
            <w:lang w:eastAsia="cs-CZ"/>
          </w:rPr>
          <w:t>https://aq3monitoring.com</w:t>
        </w:r>
      </w:hyperlink>
    </w:p>
    <w:p w:rsidR="00287B1D" w:rsidRDefault="00287B1D">
      <w:pPr>
        <w:pStyle w:val="Normlnweb"/>
        <w:shd w:val="clear" w:color="auto" w:fill="FFFFFF"/>
        <w:spacing w:before="120" w:beforeAutospacing="0" w:after="120" w:afterAutospacing="0"/>
        <w:ind w:left="-709" w:right="284" w:firstLine="1275"/>
        <w:jc w:val="both"/>
        <w:rPr>
          <w:rStyle w:val="Internetovodkaz"/>
          <w:rFonts w:ascii="Verdana" w:hAnsi="Verdana" w:cstheme="minorHAnsi"/>
          <w:sz w:val="22"/>
          <w:szCs w:val="22"/>
          <w:highlight w:val="white"/>
        </w:rPr>
      </w:pPr>
    </w:p>
    <w:p w:rsidR="00287B1D" w:rsidRDefault="00BB6CB9">
      <w:pPr>
        <w:ind w:left="-567" w:right="284" w:hanging="284"/>
        <w:jc w:val="both"/>
        <w:rPr>
          <w:rFonts w:cstheme="minorHAnsi"/>
          <w:highlight w:val="white"/>
        </w:rPr>
      </w:pPr>
      <w:r>
        <w:rPr>
          <w:noProof/>
          <w:lang w:eastAsia="cs-CZ"/>
        </w:rPr>
        <w:drawing>
          <wp:inline distT="0" distB="0" distL="0" distR="0">
            <wp:extent cx="412115" cy="238125"/>
            <wp:effectExtent l="0" t="0" r="0" b="0"/>
            <wp:docPr id="34" name="Obrázek 15" descr="https://upload.wikimedia.org/wikipedia/commons/7/7a/Citric-acid-3D-bal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15" descr="https://upload.wikimedia.org/wikipedia/commons/7/7a/Citric-acid-3D-balls.png"/>
                    <pic:cNvPicPr>
                      <a:picLocks noChangeAspect="1" noChangeArrowheads="1"/>
                    </pic:cNvPicPr>
                  </pic:nvPicPr>
                  <pic:blipFill>
                    <a:blip r:embed="rId74"/>
                    <a:stretch>
                      <a:fillRect/>
                    </a:stretch>
                  </pic:blipFill>
                  <pic:spPr bwMode="auto">
                    <a:xfrm flipH="1">
                      <a:off x="0" y="0"/>
                      <a:ext cx="412115" cy="238125"/>
                    </a:xfrm>
                    <a:prstGeom prst="rect">
                      <a:avLst/>
                    </a:prstGeom>
                  </pic:spPr>
                </pic:pic>
              </a:graphicData>
            </a:graphic>
          </wp:inline>
        </w:drawing>
      </w:r>
      <w:r>
        <w:rPr>
          <w:b/>
          <w:i/>
        </w:rPr>
        <w:t xml:space="preserve">  </w:t>
      </w:r>
      <w:r>
        <w:rPr>
          <w:b/>
          <w:i/>
          <w:u w:val="single"/>
        </w:rPr>
        <w:t>Kyselina citronová – monohydrát  99</w:t>
      </w:r>
      <w:r>
        <w:rPr>
          <w:i/>
          <w:u w:val="single"/>
        </w:rPr>
        <w:t>%</w:t>
      </w:r>
      <w:r>
        <w:rPr>
          <w:b/>
          <w:i/>
          <w:u w:val="single"/>
        </w:rPr>
        <w:t xml:space="preserve"> - </w:t>
      </w:r>
      <w:r>
        <w:rPr>
          <w:b/>
          <w:u w:val="single"/>
        </w:rPr>
        <w:t>C</w:t>
      </w:r>
      <w:r>
        <w:rPr>
          <w:b/>
          <w:u w:val="single"/>
          <w:vertAlign w:val="subscript"/>
        </w:rPr>
        <w:t>6</w:t>
      </w:r>
      <w:r>
        <w:rPr>
          <w:b/>
          <w:u w:val="single"/>
        </w:rPr>
        <w:t>H</w:t>
      </w:r>
      <w:r>
        <w:rPr>
          <w:b/>
          <w:u w:val="single"/>
          <w:vertAlign w:val="subscript"/>
        </w:rPr>
        <w:t>8</w:t>
      </w:r>
      <w:r>
        <w:rPr>
          <w:b/>
          <w:u w:val="single"/>
        </w:rPr>
        <w:t>O</w:t>
      </w:r>
      <w:r>
        <w:rPr>
          <w:b/>
          <w:u w:val="single"/>
          <w:vertAlign w:val="subscript"/>
        </w:rPr>
        <w:t>7</w:t>
      </w:r>
      <w:r>
        <w:t xml:space="preserve">,**** </w:t>
      </w:r>
      <w:proofErr w:type="gramStart"/>
      <w:r>
        <w:t>sypká  potravinářská</w:t>
      </w:r>
      <w:proofErr w:type="gramEnd"/>
      <w:r>
        <w:t>,           E 330, výtah z Bezpečnostního listu podle nařízení (ES) č. 1907/2006 a ES č.1272/2008, j</w:t>
      </w:r>
      <w:r>
        <w:rPr>
          <w:rFonts w:cstheme="minorHAnsi"/>
          <w:shd w:val="clear" w:color="auto" w:fill="FFFFFF"/>
        </w:rPr>
        <w:t>e slabá organická kyselina,  která se v dřívějších dobách  například stala velmi potřebnou i v otázkách dezinfekce pitné vody. (Proto se také doporučuje pít vodu s čerstvě vymačkaným citronem zvlášť v zemích, kde pitná voda nemá valnou kvalitu).</w:t>
      </w:r>
    </w:p>
    <w:p w:rsidR="00287B1D" w:rsidRDefault="00BB6CB9">
      <w:pPr>
        <w:ind w:left="-567" w:right="284" w:hanging="284"/>
        <w:jc w:val="both"/>
        <w:rPr>
          <w:rFonts w:cstheme="minorHAnsi"/>
          <w:b/>
          <w:color w:val="17365D" w:themeColor="text2" w:themeShade="BF"/>
          <w:highlight w:val="white"/>
        </w:rPr>
      </w:pPr>
      <w:r>
        <w:rPr>
          <w:rFonts w:cstheme="minorHAnsi"/>
          <w:shd w:val="clear" w:color="auto" w:fill="FFFFFF"/>
        </w:rPr>
        <w:t xml:space="preserve"> </w:t>
      </w:r>
      <w:r>
        <w:rPr>
          <w:noProof/>
          <w:lang w:eastAsia="cs-CZ"/>
        </w:rPr>
        <w:drawing>
          <wp:inline distT="0" distB="0" distL="0" distR="0">
            <wp:extent cx="412115" cy="238125"/>
            <wp:effectExtent l="0" t="0" r="0" b="0"/>
            <wp:docPr id="35" name="Obrázek 55" descr="https://upload.wikimedia.org/wikipedia/commons/7/7a/Citric-acid-3D-bal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55" descr="https://upload.wikimedia.org/wikipedia/commons/7/7a/Citric-acid-3D-balls.png"/>
                    <pic:cNvPicPr>
                      <a:picLocks noChangeAspect="1" noChangeArrowheads="1"/>
                    </pic:cNvPicPr>
                  </pic:nvPicPr>
                  <pic:blipFill>
                    <a:blip r:embed="rId74"/>
                    <a:stretch>
                      <a:fillRect/>
                    </a:stretch>
                  </pic:blipFill>
                  <pic:spPr bwMode="auto">
                    <a:xfrm flipH="1">
                      <a:off x="0" y="0"/>
                      <a:ext cx="412115" cy="238125"/>
                    </a:xfrm>
                    <a:prstGeom prst="rect">
                      <a:avLst/>
                    </a:prstGeom>
                  </pic:spPr>
                </pic:pic>
              </a:graphicData>
            </a:graphic>
          </wp:inline>
        </w:drawing>
      </w:r>
      <w:r>
        <w:rPr>
          <w:rFonts w:cstheme="minorHAnsi"/>
          <w:shd w:val="clear" w:color="auto" w:fill="FFFFFF"/>
        </w:rPr>
        <w:t xml:space="preserve">   Kyselina citronová </w:t>
      </w:r>
      <w:r>
        <w:rPr>
          <w:rFonts w:cstheme="minorHAnsi"/>
          <w:u w:val="single"/>
          <w:shd w:val="clear" w:color="auto" w:fill="FFFFFF"/>
        </w:rPr>
        <w:t>usmrcuje</w:t>
      </w:r>
      <w:r>
        <w:rPr>
          <w:rFonts w:cstheme="minorHAnsi"/>
          <w:shd w:val="clear" w:color="auto" w:fill="FFFFFF"/>
        </w:rPr>
        <w:t xml:space="preserve"> </w:t>
      </w:r>
      <w:r>
        <w:rPr>
          <w:rFonts w:cstheme="minorHAnsi"/>
          <w:b/>
          <w:color w:val="1C13CB"/>
          <w:shd w:val="clear" w:color="auto" w:fill="FFFFFF"/>
        </w:rPr>
        <w:t xml:space="preserve">bakterie, zároveň zabraňuje růstu </w:t>
      </w:r>
      <w:proofErr w:type="gramStart"/>
      <w:r>
        <w:rPr>
          <w:rFonts w:cstheme="minorHAnsi"/>
          <w:b/>
          <w:color w:val="1C13CB"/>
          <w:shd w:val="clear" w:color="auto" w:fill="FFFFFF"/>
        </w:rPr>
        <w:t>plísní a      kvasinek</w:t>
      </w:r>
      <w:proofErr w:type="gramEnd"/>
      <w:r>
        <w:rPr>
          <w:rFonts w:cstheme="minorHAnsi"/>
          <w:b/>
          <w:color w:val="17365D" w:themeColor="text2" w:themeShade="BF"/>
          <w:shd w:val="clear" w:color="auto" w:fill="FFFFFF"/>
        </w:rPr>
        <w:t>.</w:t>
      </w:r>
    </w:p>
    <w:p w:rsidR="00287B1D" w:rsidRDefault="00BB6CB9">
      <w:pPr>
        <w:ind w:left="-567" w:right="284"/>
        <w:jc w:val="both"/>
        <w:rPr>
          <w:rFonts w:cstheme="minorHAnsi"/>
          <w:highlight w:val="white"/>
        </w:rPr>
      </w:pPr>
      <w:r>
        <w:rPr>
          <w:rFonts w:cstheme="minorHAnsi"/>
          <w:color w:val="17365D" w:themeColor="text2" w:themeShade="BF"/>
          <w:shd w:val="clear" w:color="auto" w:fill="FFFFFF"/>
        </w:rPr>
        <w:t xml:space="preserve"> </w:t>
      </w:r>
      <w:r>
        <w:rPr>
          <w:rFonts w:cstheme="minorHAnsi"/>
          <w:shd w:val="clear" w:color="auto" w:fill="FFFFFF"/>
        </w:rPr>
        <w:t xml:space="preserve">Na tom se zakládá její </w:t>
      </w:r>
      <w:r>
        <w:rPr>
          <w:rFonts w:cstheme="minorHAnsi"/>
          <w:b/>
          <w:color w:val="7030A0"/>
          <w:shd w:val="clear" w:color="auto" w:fill="FFFFFF"/>
        </w:rPr>
        <w:t>dezinfekční účinek</w:t>
      </w:r>
      <w:r>
        <w:rPr>
          <w:rFonts w:cstheme="minorHAnsi"/>
          <w:shd w:val="clear" w:color="auto" w:fill="FFFFFF"/>
        </w:rPr>
        <w:t xml:space="preserve">. Nemá sice tak významný účinek jako </w:t>
      </w:r>
      <w:r>
        <w:rPr>
          <w:rFonts w:cstheme="minorHAnsi"/>
          <w:b/>
          <w:color w:val="202124"/>
          <w:shd w:val="clear" w:color="auto" w:fill="FFFFFF"/>
        </w:rPr>
        <w:t>H</w:t>
      </w:r>
      <w:r>
        <w:rPr>
          <w:rFonts w:cstheme="minorHAnsi"/>
          <w:b/>
          <w:color w:val="202124"/>
          <w:shd w:val="clear" w:color="auto" w:fill="FFFFFF"/>
          <w:vertAlign w:val="subscript"/>
        </w:rPr>
        <w:t>2</w:t>
      </w:r>
      <w:r>
        <w:rPr>
          <w:rFonts w:cstheme="minorHAnsi"/>
          <w:b/>
          <w:color w:val="202124"/>
          <w:shd w:val="clear" w:color="auto" w:fill="FFFFFF"/>
        </w:rPr>
        <w:t>O</w:t>
      </w:r>
      <w:r>
        <w:rPr>
          <w:rFonts w:cstheme="minorHAnsi"/>
          <w:b/>
          <w:color w:val="202124"/>
          <w:shd w:val="clear" w:color="auto" w:fill="FFFFFF"/>
          <w:vertAlign w:val="subscript"/>
        </w:rPr>
        <w:t>2</w:t>
      </w:r>
      <w:r>
        <w:rPr>
          <w:rFonts w:cstheme="minorHAnsi"/>
          <w:color w:val="202124"/>
          <w:shd w:val="clear" w:color="auto" w:fill="FFFFFF"/>
        </w:rPr>
        <w:t>, pouze ihibuje (zabraňuje)</w:t>
      </w:r>
      <w:r>
        <w:rPr>
          <w:rFonts w:cstheme="minorHAnsi"/>
          <w:b/>
          <w:color w:val="202124"/>
          <w:shd w:val="clear" w:color="auto" w:fill="FFFFFF"/>
          <w:vertAlign w:val="subscript"/>
        </w:rPr>
        <w:t xml:space="preserve"> </w:t>
      </w:r>
      <w:r>
        <w:rPr>
          <w:rFonts w:cstheme="minorHAnsi"/>
          <w:shd w:val="clear" w:color="auto" w:fill="FFFFFF"/>
        </w:rPr>
        <w:t xml:space="preserve">růstu bakterií. </w:t>
      </w:r>
    </w:p>
    <w:p w:rsidR="00287B1D" w:rsidRDefault="00BB6CB9">
      <w:pPr>
        <w:ind w:left="-567" w:right="284" w:firstLine="1275"/>
        <w:jc w:val="both"/>
        <w:rPr>
          <w:rFonts w:cstheme="minorHAnsi"/>
        </w:rPr>
      </w:pPr>
      <w:r>
        <w:rPr>
          <w:rFonts w:cstheme="minorHAnsi"/>
          <w:i/>
          <w:shd w:val="clear" w:color="auto" w:fill="FFFFFF"/>
        </w:rPr>
        <w:t xml:space="preserve"> </w:t>
      </w:r>
      <w:r>
        <w:rPr>
          <w:rFonts w:cstheme="minorHAnsi"/>
        </w:rPr>
        <w:t xml:space="preserve">Výrobek splňuje požadavky Nařízení EU č.231/2012 v platném znění. Výrobek je v souladu s Nařízením Komise (ES) č. 2073/2005 kvalifikován jako mikrobiologicky neriziková potravina </w:t>
      </w:r>
      <w:r>
        <w:rPr>
          <w:rFonts w:cstheme="minorHAnsi"/>
          <w:b/>
        </w:rPr>
        <w:t>GMO</w:t>
      </w:r>
      <w:r>
        <w:rPr>
          <w:rFonts w:cstheme="minorHAnsi"/>
        </w:rPr>
        <w:t xml:space="preserve"> (</w:t>
      </w:r>
      <w:r>
        <w:rPr>
          <w:rFonts w:cstheme="minorHAnsi"/>
          <w:shd w:val="clear" w:color="auto" w:fill="FFFFFF"/>
        </w:rPr>
        <w:t>Geneticky modifikovaný organismus)</w:t>
      </w:r>
      <w:r>
        <w:rPr>
          <w:rFonts w:cstheme="minorHAnsi"/>
        </w:rPr>
        <w:t xml:space="preserve">. </w:t>
      </w:r>
    </w:p>
    <w:p w:rsidR="00287B1D" w:rsidRDefault="00BB6CB9">
      <w:pPr>
        <w:ind w:left="-567" w:right="284" w:firstLine="1275"/>
        <w:jc w:val="both"/>
        <w:rPr>
          <w:rFonts w:cstheme="minorHAnsi"/>
        </w:rPr>
      </w:pPr>
      <w:r>
        <w:rPr>
          <w:rFonts w:cstheme="minorHAnsi"/>
        </w:rPr>
        <w:t xml:space="preserve">Výrobek neobsahuje geneticky modifikované organismy a nebyl vyroben z geneticky modifikovaných surovin. Výrobek neobsahuje alergenní složky uvedené v příloze č. 2 Nařízení (EU) č. 1169/2011 v platném znění. </w:t>
      </w:r>
      <w:r>
        <w:rPr>
          <w:rFonts w:cstheme="minorHAnsi"/>
          <w:i/>
          <w:color w:val="FF0000"/>
        </w:rPr>
        <w:t xml:space="preserve">Používá se v 5% koncentraci, kdy se roztok naplní do filtračního systému, ponechá cca 1 hodinu působit a následně se propláchne čistou vodou. </w:t>
      </w:r>
    </w:p>
    <w:p w:rsidR="00287B1D" w:rsidRDefault="00BB6CB9">
      <w:pPr>
        <w:pStyle w:val="Normlnweb"/>
        <w:numPr>
          <w:ilvl w:val="0"/>
          <w:numId w:val="6"/>
        </w:numPr>
        <w:shd w:val="clear" w:color="auto" w:fill="FFFFFF"/>
        <w:tabs>
          <w:tab w:val="clear" w:pos="720"/>
        </w:tabs>
        <w:spacing w:before="120" w:beforeAutospacing="0" w:after="120" w:afterAutospacing="0"/>
        <w:ind w:left="-567" w:right="284" w:hanging="284"/>
        <w:jc w:val="both"/>
        <w:rPr>
          <w:rFonts w:ascii="Verdana" w:hAnsi="Verdana" w:cstheme="minorHAnsi"/>
          <w:sz w:val="22"/>
          <w:szCs w:val="22"/>
          <w:highlight w:val="white"/>
        </w:rPr>
      </w:pPr>
      <w:r>
        <w:rPr>
          <w:rFonts w:ascii="Verdana" w:hAnsi="Verdana" w:cstheme="minorHAnsi"/>
          <w:b/>
          <w:color w:val="202122"/>
          <w:sz w:val="22"/>
          <w:szCs w:val="22"/>
        </w:rPr>
        <w:t>Doporučení:</w:t>
      </w:r>
      <w:r>
        <w:rPr>
          <w:rFonts w:ascii="Verdana" w:hAnsi="Verdana" w:cstheme="minorHAnsi"/>
          <w:color w:val="202122"/>
          <w:sz w:val="22"/>
          <w:szCs w:val="22"/>
        </w:rPr>
        <w:t xml:space="preserve"> </w:t>
      </w:r>
      <w:r>
        <w:rPr>
          <w:rFonts w:ascii="Verdana" w:hAnsi="Verdana" w:cstheme="minorHAnsi"/>
          <w:sz w:val="22"/>
          <w:szCs w:val="22"/>
          <w:shd w:val="clear" w:color="auto" w:fill="FFFFFF"/>
        </w:rPr>
        <w:t xml:space="preserve">  Kyselina citronová – monohydrát, by se měla skladovat na chladném, suchém, dobře větraném místě. Měla by být uložena v nádobě z nereaktivních materiálů, například </w:t>
      </w:r>
      <w:hyperlink r:id="rId75" w:tgtFrame="Korozivzdorná ocel">
        <w:r>
          <w:rPr>
            <w:rStyle w:val="Internetovodkaz"/>
            <w:rFonts w:ascii="Verdana" w:hAnsi="Verdana" w:cstheme="minorHAnsi"/>
            <w:sz w:val="22"/>
            <w:szCs w:val="22"/>
            <w:highlight w:val="white"/>
          </w:rPr>
          <w:t>korozivzdorné oceli</w:t>
        </w:r>
      </w:hyperlink>
      <w:r>
        <w:rPr>
          <w:rFonts w:ascii="Verdana" w:hAnsi="Verdana" w:cstheme="minorHAnsi"/>
          <w:sz w:val="22"/>
          <w:szCs w:val="22"/>
          <w:shd w:val="clear" w:color="auto" w:fill="FFFFFF"/>
        </w:rPr>
        <w:t> nebo </w:t>
      </w:r>
      <w:hyperlink r:id="rId76" w:tgtFrame="Sklo">
        <w:r>
          <w:rPr>
            <w:rStyle w:val="Internetovodkaz"/>
            <w:rFonts w:ascii="Verdana" w:hAnsi="Verdana" w:cstheme="minorHAnsi"/>
            <w:sz w:val="22"/>
            <w:szCs w:val="22"/>
            <w:highlight w:val="white"/>
          </w:rPr>
          <w:t>skla</w:t>
        </w:r>
      </w:hyperlink>
      <w:r>
        <w:rPr>
          <w:rFonts w:ascii="Verdana" w:hAnsi="Verdana" w:cstheme="minorHAnsi"/>
          <w:sz w:val="22"/>
          <w:szCs w:val="22"/>
          <w:shd w:val="clear" w:color="auto" w:fill="FFFFFF"/>
        </w:rPr>
        <w:t> (mohou být vhodné i jiné materiály, například </w:t>
      </w:r>
      <w:hyperlink r:id="rId77" w:tgtFrame="Plast">
        <w:r>
          <w:rPr>
            <w:rStyle w:val="Internetovodkaz"/>
            <w:rFonts w:ascii="Verdana" w:hAnsi="Verdana" w:cstheme="minorHAnsi"/>
            <w:sz w:val="22"/>
            <w:szCs w:val="22"/>
            <w:highlight w:val="white"/>
          </w:rPr>
          <w:t>plasty</w:t>
        </w:r>
      </w:hyperlink>
      <w:r>
        <w:rPr>
          <w:rFonts w:ascii="Verdana" w:hAnsi="Verdana" w:cstheme="minorHAnsi"/>
          <w:sz w:val="22"/>
          <w:szCs w:val="22"/>
          <w:shd w:val="clear" w:color="auto" w:fill="FFFFFF"/>
        </w:rPr>
        <w:t> nebo </w:t>
      </w:r>
      <w:hyperlink r:id="rId78" w:tgtFrame="Slitiny hliníku">
        <w:r>
          <w:rPr>
            <w:rStyle w:val="Internetovodkaz"/>
            <w:rFonts w:ascii="Verdana" w:hAnsi="Verdana" w:cstheme="minorHAnsi"/>
            <w:sz w:val="22"/>
            <w:szCs w:val="22"/>
            <w:highlight w:val="white"/>
          </w:rPr>
          <w:t>hliníkové slitiny</w:t>
        </w:r>
      </w:hyperlink>
      <w:r>
        <w:rPr>
          <w:rFonts w:ascii="Verdana" w:hAnsi="Verdana" w:cstheme="minorHAnsi"/>
          <w:sz w:val="22"/>
          <w:szCs w:val="22"/>
          <w:shd w:val="clear" w:color="auto" w:fill="FFFFFF"/>
        </w:rPr>
        <w:t xml:space="preserve">). </w:t>
      </w:r>
      <w:r>
        <w:rPr>
          <w:rFonts w:ascii="Verdana" w:hAnsi="Verdana"/>
          <w:b/>
          <w:sz w:val="22"/>
          <w:szCs w:val="22"/>
        </w:rPr>
        <w:t xml:space="preserve"> </w:t>
      </w:r>
    </w:p>
    <w:p w:rsidR="00287B1D" w:rsidRDefault="00287B1D">
      <w:pPr>
        <w:pStyle w:val="Normlnweb"/>
        <w:shd w:val="clear" w:color="auto" w:fill="FFFFFF"/>
        <w:spacing w:before="120" w:beforeAutospacing="0" w:after="120" w:afterAutospacing="0"/>
        <w:ind w:left="-567" w:right="284"/>
        <w:jc w:val="both"/>
        <w:rPr>
          <w:rFonts w:ascii="Verdana" w:hAnsi="Verdana" w:cstheme="minorHAnsi"/>
          <w:sz w:val="22"/>
          <w:szCs w:val="22"/>
          <w:highlight w:val="white"/>
        </w:rPr>
      </w:pPr>
    </w:p>
    <w:p w:rsidR="00287B1D" w:rsidRDefault="00BB6CB9">
      <w:pPr>
        <w:pStyle w:val="Odstavecseseznamem"/>
        <w:numPr>
          <w:ilvl w:val="0"/>
          <w:numId w:val="15"/>
        </w:numPr>
        <w:tabs>
          <w:tab w:val="clear" w:pos="720"/>
        </w:tabs>
        <w:spacing w:line="240" w:lineRule="auto"/>
        <w:ind w:left="-567" w:right="284" w:hanging="284"/>
        <w:jc w:val="both"/>
        <w:rPr>
          <w:rFonts w:cstheme="minorHAnsi"/>
        </w:rPr>
      </w:pPr>
      <w:r>
        <w:rPr>
          <w:rFonts w:cstheme="minorHAnsi"/>
          <w:u w:val="single"/>
        </w:rPr>
        <w:t>Poznámka:</w:t>
      </w:r>
      <w:r>
        <w:rPr>
          <w:rFonts w:cstheme="minorHAnsi"/>
        </w:rPr>
        <w:t xml:space="preserve"> </w:t>
      </w:r>
    </w:p>
    <w:p w:rsidR="00287B1D" w:rsidRDefault="00287B1D">
      <w:pPr>
        <w:pStyle w:val="Odstavecseseznamem"/>
        <w:spacing w:line="240" w:lineRule="auto"/>
        <w:ind w:left="-567" w:right="284"/>
        <w:jc w:val="both"/>
        <w:rPr>
          <w:rFonts w:cstheme="minorHAnsi"/>
        </w:rPr>
      </w:pPr>
    </w:p>
    <w:p w:rsidR="00287B1D" w:rsidRDefault="00BB6CB9">
      <w:pPr>
        <w:pStyle w:val="Odstavecseseznamem"/>
        <w:numPr>
          <w:ilvl w:val="0"/>
          <w:numId w:val="14"/>
        </w:numPr>
        <w:tabs>
          <w:tab w:val="clear" w:pos="720"/>
        </w:tabs>
        <w:spacing w:line="240" w:lineRule="auto"/>
        <w:ind w:left="-567" w:right="284" w:hanging="284"/>
        <w:jc w:val="both"/>
        <w:rPr>
          <w:rFonts w:cstheme="minorHAnsi"/>
        </w:rPr>
      </w:pPr>
      <w:r>
        <w:t xml:space="preserve">Parní tlakové čištění se využívá v případě, že na servis dorazí nepoužívaný, zavodněný filtrační systém, nebo ve kterém je předpoklad bakteriální kontaminace, je (na nebo) v něm na první pohled znatelný růst bakterií, fotosyntéza, růst zelených </w:t>
      </w:r>
      <w:proofErr w:type="gramStart"/>
      <w:r>
        <w:t>řas,  po</w:t>
      </w:r>
      <w:proofErr w:type="gramEnd"/>
      <w:r>
        <w:t xml:space="preserve"> otevření je cítit zatuchlost, hnilobné procesy, uvnitř jsou viditelné černé pigmentové skvrny, atp... </w:t>
      </w:r>
    </w:p>
    <w:p w:rsidR="00287B1D" w:rsidRDefault="00287B1D">
      <w:pPr>
        <w:pStyle w:val="Odstavecseseznamem"/>
        <w:spacing w:line="240" w:lineRule="auto"/>
        <w:ind w:left="-567" w:right="284"/>
        <w:jc w:val="both"/>
        <w:rPr>
          <w:rFonts w:cstheme="minorHAnsi"/>
        </w:rPr>
      </w:pPr>
    </w:p>
    <w:p w:rsidR="00287B1D" w:rsidRDefault="00BB6CB9">
      <w:pPr>
        <w:pStyle w:val="Odstavecseseznamem"/>
        <w:numPr>
          <w:ilvl w:val="0"/>
          <w:numId w:val="14"/>
        </w:numPr>
        <w:tabs>
          <w:tab w:val="clear" w:pos="720"/>
        </w:tabs>
        <w:spacing w:line="240" w:lineRule="auto"/>
        <w:ind w:left="-567" w:right="284" w:hanging="284"/>
        <w:jc w:val="both"/>
        <w:rPr>
          <w:rFonts w:cstheme="minorHAnsi"/>
        </w:rPr>
      </w:pPr>
      <w:r>
        <w:t xml:space="preserve">V takovém případě se musí kompletně systém rozebrat, vyjmout veškeré výměnné vložky (které se umístí do odpadu, včetně všech hadiček). Je nutné </w:t>
      </w:r>
      <w:r>
        <w:rPr>
          <w:b/>
          <w:color w:val="00B050"/>
        </w:rPr>
        <w:t>vyměnit za nové</w:t>
      </w:r>
      <w:r>
        <w:t xml:space="preserve">, nebo </w:t>
      </w:r>
      <w:r>
        <w:rPr>
          <w:b/>
          <w:color w:val="FF0000"/>
        </w:rPr>
        <w:t>rozebrat</w:t>
      </w:r>
      <w:r>
        <w:t xml:space="preserve"> sací pumpu, třícestný ventil, solenoidy, </w:t>
      </w:r>
      <w:r>
        <w:rPr>
          <w:b/>
        </w:rPr>
        <w:t>UV-C</w:t>
      </w:r>
      <w:r>
        <w:t xml:space="preserve">, regulátor tlaku a tyto </w:t>
      </w:r>
      <w:r>
        <w:lastRenderedPageBreak/>
        <w:t xml:space="preserve">vložit do vhodné nádobky a vyčistit ze všech stran, tlakovou párou, případně vhodným kartáčkem. </w:t>
      </w:r>
      <w:r>
        <w:rPr>
          <w:u w:val="single"/>
        </w:rPr>
        <w:t>Toto je potřeba opakovat, až do úplného vyčištění</w:t>
      </w:r>
      <w:r>
        <w:t xml:space="preserve">. </w:t>
      </w:r>
    </w:p>
    <w:p w:rsidR="00287B1D" w:rsidRDefault="00287B1D">
      <w:pPr>
        <w:pStyle w:val="Odstavecseseznamem"/>
      </w:pPr>
    </w:p>
    <w:p w:rsidR="00287B1D" w:rsidRDefault="00BB6CB9">
      <w:pPr>
        <w:pStyle w:val="Odstavecseseznamem"/>
        <w:numPr>
          <w:ilvl w:val="0"/>
          <w:numId w:val="14"/>
        </w:numPr>
        <w:tabs>
          <w:tab w:val="clear" w:pos="720"/>
        </w:tabs>
        <w:spacing w:after="0" w:line="240" w:lineRule="auto"/>
        <w:ind w:left="-567" w:right="284" w:hanging="284"/>
        <w:jc w:val="both"/>
        <w:rPr>
          <w:rFonts w:cstheme="minorHAnsi"/>
        </w:rPr>
      </w:pPr>
      <w:r>
        <w:t xml:space="preserve">Před opětovnou montáží do nerezového rámu, doporučujeme vložit tyto komponenty do vhodné nádobky a zalít příslušným desinfektorem. Ponechte cca </w:t>
      </w:r>
      <w:r>
        <w:rPr>
          <w:b/>
        </w:rPr>
        <w:t>½</w:t>
      </w:r>
      <w:r>
        <w:t xml:space="preserve"> až </w:t>
      </w:r>
      <w:r>
        <w:rPr>
          <w:b/>
        </w:rPr>
        <w:t>1</w:t>
      </w:r>
      <w:r>
        <w:t xml:space="preserve"> hodinu. </w:t>
      </w:r>
      <w:r>
        <w:rPr>
          <w:color w:val="FF0000"/>
        </w:rPr>
        <w:t xml:space="preserve">Neoplachujte!!! </w:t>
      </w:r>
      <w:r>
        <w:t xml:space="preserve">Následně vše smontujeme. Pozor na opětovné seřízení regulátoru tlaku, který je na zkušební lince z výroby seřízen na </w:t>
      </w:r>
      <w:r>
        <w:rPr>
          <w:b/>
        </w:rPr>
        <w:t>2.5</w:t>
      </w:r>
      <w:r>
        <w:t xml:space="preserve"> baru. Do nádobky doporučujeme vložit veškeré servisní kohouty, škrtící ventil, zpětné klapky, QC fitinky, průtokoměry (</w:t>
      </w:r>
      <w:r>
        <w:rPr>
          <w:color w:val="FF0000"/>
        </w:rPr>
        <w:t>pozor na kontakty</w:t>
      </w:r>
      <w:r>
        <w:t xml:space="preserve">) a vše zalít příslušným desinfektorem. Ponechte cca </w:t>
      </w:r>
      <w:r>
        <w:rPr>
          <w:b/>
        </w:rPr>
        <w:t>½</w:t>
      </w:r>
      <w:r>
        <w:t xml:space="preserve"> až </w:t>
      </w:r>
      <w:r>
        <w:rPr>
          <w:b/>
        </w:rPr>
        <w:t xml:space="preserve">1 </w:t>
      </w:r>
      <w:r>
        <w:t xml:space="preserve">hodinu. </w:t>
      </w:r>
      <w:r>
        <w:rPr>
          <w:color w:val="FF0000"/>
        </w:rPr>
        <w:t xml:space="preserve">Neoplachujte!!! </w:t>
      </w:r>
    </w:p>
    <w:p w:rsidR="00287B1D" w:rsidRDefault="00287B1D">
      <w:pPr>
        <w:spacing w:after="0" w:line="240" w:lineRule="auto"/>
        <w:ind w:right="284"/>
        <w:jc w:val="both"/>
        <w:rPr>
          <w:rFonts w:cstheme="minorHAnsi"/>
        </w:rPr>
      </w:pPr>
    </w:p>
    <w:p w:rsidR="00287B1D" w:rsidRDefault="00BB6CB9">
      <w:pPr>
        <w:spacing w:after="0" w:line="240" w:lineRule="auto"/>
        <w:ind w:right="284"/>
        <w:jc w:val="both"/>
        <w:rPr>
          <w:rFonts w:cstheme="minorHAnsi"/>
        </w:rPr>
      </w:pPr>
      <w:r>
        <w:rPr>
          <w:rFonts w:cstheme="minorHAnsi"/>
        </w:rPr>
        <w:t xml:space="preserve">           </w:t>
      </w:r>
      <w:r>
        <w:rPr>
          <w:noProof/>
          <w:lang w:eastAsia="cs-CZ"/>
        </w:rPr>
        <w:drawing>
          <wp:inline distT="0" distB="0" distL="0" distR="0">
            <wp:extent cx="1369060" cy="1369060"/>
            <wp:effectExtent l="0" t="0" r="0" b="0"/>
            <wp:docPr id="36" name="Obrázek 67" descr="Pressure Regulator 1/4-Inch Fittings – aquaticlif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 67" descr="Pressure Regulator 1/4-Inch Fittings – aquaticlife.com"/>
                    <pic:cNvPicPr>
                      <a:picLocks noChangeAspect="1" noChangeArrowheads="1"/>
                    </pic:cNvPicPr>
                  </pic:nvPicPr>
                  <pic:blipFill>
                    <a:blip r:embed="rId79"/>
                    <a:stretch>
                      <a:fillRect/>
                    </a:stretch>
                  </pic:blipFill>
                  <pic:spPr bwMode="auto">
                    <a:xfrm>
                      <a:off x="0" y="0"/>
                      <a:ext cx="1369060" cy="1369060"/>
                    </a:xfrm>
                    <a:prstGeom prst="rect">
                      <a:avLst/>
                    </a:prstGeom>
                  </pic:spPr>
                </pic:pic>
              </a:graphicData>
            </a:graphic>
          </wp:inline>
        </w:drawing>
      </w:r>
      <w:r>
        <w:rPr>
          <w:rFonts w:cstheme="minorHAnsi"/>
        </w:rPr>
        <w:t xml:space="preserve">                                </w:t>
      </w:r>
      <w:r>
        <w:rPr>
          <w:noProof/>
          <w:lang w:eastAsia="cs-CZ"/>
        </w:rPr>
        <w:drawing>
          <wp:inline distT="0" distB="0" distL="0" distR="0">
            <wp:extent cx="1869440" cy="1397635"/>
            <wp:effectExtent l="0" t="0" r="0" b="0"/>
            <wp:docPr id="37" name="Obrázek 87" descr="Fitinka přímá rychlospojka zpětná klapka 2x hadička 1/4&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87" descr="Fitinka přímá rychlospojka zpětná klapka 2x hadička 1/4&quot;"/>
                    <pic:cNvPicPr>
                      <a:picLocks noChangeAspect="1" noChangeArrowheads="1"/>
                    </pic:cNvPicPr>
                  </pic:nvPicPr>
                  <pic:blipFill>
                    <a:blip r:embed="rId80"/>
                    <a:stretch>
                      <a:fillRect/>
                    </a:stretch>
                  </pic:blipFill>
                  <pic:spPr bwMode="auto">
                    <a:xfrm>
                      <a:off x="0" y="0"/>
                      <a:ext cx="1869440" cy="1397635"/>
                    </a:xfrm>
                    <a:prstGeom prst="rect">
                      <a:avLst/>
                    </a:prstGeom>
                  </pic:spPr>
                </pic:pic>
              </a:graphicData>
            </a:graphic>
          </wp:inline>
        </w:drawing>
      </w:r>
    </w:p>
    <w:p w:rsidR="00287B1D" w:rsidRDefault="00BB6CB9">
      <w:pPr>
        <w:spacing w:after="0" w:line="240" w:lineRule="auto"/>
        <w:ind w:left="-567" w:right="284"/>
        <w:jc w:val="both"/>
        <w:rPr>
          <w:rFonts w:cstheme="minorHAnsi"/>
          <w:sz w:val="14"/>
          <w:szCs w:val="14"/>
        </w:rPr>
      </w:pPr>
      <w:r>
        <w:rPr>
          <w:rFonts w:cstheme="minorHAnsi"/>
          <w:sz w:val="14"/>
          <w:szCs w:val="14"/>
        </w:rPr>
        <w:t xml:space="preserve">                   </w:t>
      </w:r>
      <w:proofErr w:type="gramStart"/>
      <w:r>
        <w:rPr>
          <w:rFonts w:cstheme="minorHAnsi"/>
          <w:sz w:val="14"/>
          <w:szCs w:val="14"/>
        </w:rPr>
        <w:t>Obr.24</w:t>
      </w:r>
      <w:proofErr w:type="gramEnd"/>
      <w:r>
        <w:rPr>
          <w:rFonts w:cstheme="minorHAnsi"/>
          <w:sz w:val="14"/>
          <w:szCs w:val="14"/>
        </w:rPr>
        <w:t xml:space="preserve"> Regulátor tlaku, pro ochranu UV-C LED              Obr.25 Zpětná klapka v technologii AQ3 Mini </w:t>
      </w:r>
      <w:r>
        <w:rPr>
          <w:sz w:val="14"/>
          <w:szCs w:val="14"/>
        </w:rPr>
        <w:t xml:space="preserve">(chybí u AQ3 Mini Basic)                       </w:t>
      </w:r>
    </w:p>
    <w:p w:rsidR="00287B1D" w:rsidRDefault="00287B1D">
      <w:pPr>
        <w:spacing w:after="0" w:line="240" w:lineRule="auto"/>
        <w:ind w:left="-567" w:right="284"/>
        <w:jc w:val="both"/>
        <w:rPr>
          <w:rFonts w:cstheme="minorHAnsi"/>
        </w:rPr>
      </w:pPr>
    </w:p>
    <w:p w:rsidR="00287B1D" w:rsidRDefault="00BB6CB9">
      <w:pPr>
        <w:pStyle w:val="Odstavecseseznamem"/>
        <w:numPr>
          <w:ilvl w:val="0"/>
          <w:numId w:val="14"/>
        </w:numPr>
        <w:tabs>
          <w:tab w:val="clear" w:pos="720"/>
        </w:tabs>
        <w:spacing w:after="0" w:line="240" w:lineRule="auto"/>
        <w:ind w:left="-567" w:right="284" w:hanging="284"/>
        <w:jc w:val="both"/>
        <w:rPr>
          <w:rFonts w:cstheme="minorHAnsi"/>
        </w:rPr>
      </w:pPr>
      <w:r>
        <w:t xml:space="preserve">Horká pára o teplotě </w:t>
      </w:r>
      <w:r>
        <w:rPr>
          <w:b/>
          <w:color w:val="FF0000"/>
          <w:u w:val="single"/>
        </w:rPr>
        <w:t>175 °C</w:t>
      </w:r>
      <w:r>
        <w:rPr>
          <w:color w:val="FF0000"/>
        </w:rPr>
        <w:t xml:space="preserve"> </w:t>
      </w:r>
      <w:r>
        <w:t xml:space="preserve">ničí veškeré viry, bakterie, plísně, mikroby a další </w:t>
      </w:r>
      <w:proofErr w:type="gramStart"/>
      <w:r>
        <w:t>mikroorganismy...</w:t>
      </w:r>
      <w:proofErr w:type="gramEnd"/>
      <w:r>
        <w:t xml:space="preserve"> To znamená, že ošetříme veškeré vnitřní a vnější povrchy, které vydrží kontakt s horkou párou.  Toto čištění se využívá i pro čištění veškerých rámů a obalů, použitých v technologii </w:t>
      </w:r>
      <w:r>
        <w:rPr>
          <w:b/>
        </w:rPr>
        <w:t>AQ3</w:t>
      </w:r>
      <w:r>
        <w:t xml:space="preserve"> Mini. Tímto způsobem se odstraňuje jak zašlá špína, mastnota, tak například prach a další nánosy. Doporučujeme po parní aplikaci vše opláchnout vlažnou vodou. Toto můžeme opakovat až do úplného vyčištění povrchů a následně necháme předmětné komponenty odkapat. Díky tomu, že je pro čištění použito minimum vody a technologie </w:t>
      </w:r>
      <w:r>
        <w:rPr>
          <w:b/>
        </w:rPr>
        <w:t>AQ3</w:t>
      </w:r>
      <w:r>
        <w:t xml:space="preserve"> Mini je téměř okamžitě suchá, nevytváří se tak prostředí, které by umocňovalo </w:t>
      </w:r>
      <w:r>
        <w:rPr>
          <w:color w:val="FF0000"/>
        </w:rPr>
        <w:t>sekundární plísně a bakterie,</w:t>
      </w:r>
      <w:r>
        <w:t xml:space="preserve"> na čerstvě ošetřených površích.</w:t>
      </w:r>
    </w:p>
    <w:p w:rsidR="00287B1D" w:rsidRDefault="00287B1D">
      <w:pPr>
        <w:spacing w:after="0" w:line="240" w:lineRule="auto"/>
        <w:ind w:left="360" w:right="284"/>
        <w:jc w:val="both"/>
        <w:rPr>
          <w:rFonts w:cstheme="minorHAnsi"/>
        </w:rPr>
      </w:pPr>
    </w:p>
    <w:p w:rsidR="00287B1D" w:rsidRDefault="00BB6CB9">
      <w:pPr>
        <w:spacing w:after="0" w:line="240" w:lineRule="auto"/>
        <w:ind w:left="360" w:right="284"/>
        <w:jc w:val="both"/>
        <w:rPr>
          <w:rFonts w:cstheme="minorHAnsi"/>
        </w:rPr>
      </w:pPr>
      <w:r>
        <w:rPr>
          <w:rFonts w:cstheme="minorHAnsi"/>
        </w:rPr>
        <w:t xml:space="preserve">                             </w:t>
      </w:r>
      <w:r>
        <w:rPr>
          <w:noProof/>
          <w:lang w:eastAsia="cs-CZ"/>
        </w:rPr>
        <w:drawing>
          <wp:inline distT="0" distB="0" distL="0" distR="0">
            <wp:extent cx="2119630" cy="2119630"/>
            <wp:effectExtent l="0" t="0" r="0" b="0"/>
            <wp:docPr id="38" name="Obrázek 88" descr="24632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88" descr="246321831"/>
                    <pic:cNvPicPr>
                      <a:picLocks noChangeAspect="1" noChangeArrowheads="1"/>
                    </pic:cNvPicPr>
                  </pic:nvPicPr>
                  <pic:blipFill>
                    <a:blip r:embed="rId81"/>
                    <a:stretch>
                      <a:fillRect/>
                    </a:stretch>
                  </pic:blipFill>
                  <pic:spPr bwMode="auto">
                    <a:xfrm>
                      <a:off x="0" y="0"/>
                      <a:ext cx="2119630" cy="2119630"/>
                    </a:xfrm>
                    <a:prstGeom prst="rect">
                      <a:avLst/>
                    </a:prstGeom>
                  </pic:spPr>
                </pic:pic>
              </a:graphicData>
            </a:graphic>
          </wp:inline>
        </w:drawing>
      </w:r>
    </w:p>
    <w:p w:rsidR="00287B1D" w:rsidRDefault="00BB6CB9">
      <w:pPr>
        <w:pStyle w:val="Odstavecseseznamem"/>
        <w:spacing w:line="240" w:lineRule="auto"/>
        <w:ind w:left="-567" w:right="284"/>
        <w:jc w:val="both"/>
        <w:rPr>
          <w:rFonts w:cstheme="minorHAnsi"/>
          <w:sz w:val="14"/>
          <w:szCs w:val="14"/>
        </w:rPr>
      </w:pPr>
      <w:r>
        <w:rPr>
          <w:rFonts w:cstheme="minorHAnsi"/>
        </w:rPr>
        <w:t xml:space="preserve">                                                     </w:t>
      </w:r>
      <w:proofErr w:type="gramStart"/>
      <w:r>
        <w:rPr>
          <w:rFonts w:cstheme="minorHAnsi"/>
          <w:sz w:val="14"/>
          <w:szCs w:val="14"/>
        </w:rPr>
        <w:t>Obr.26</w:t>
      </w:r>
      <w:proofErr w:type="gramEnd"/>
      <w:r>
        <w:rPr>
          <w:rFonts w:cstheme="minorHAnsi"/>
          <w:sz w:val="14"/>
          <w:szCs w:val="14"/>
        </w:rPr>
        <w:t xml:space="preserve">  Parní ruční sterilizátor</w:t>
      </w:r>
    </w:p>
    <w:p w:rsidR="00287B1D" w:rsidRDefault="00287B1D">
      <w:pPr>
        <w:pStyle w:val="Odstavecseseznamem"/>
        <w:spacing w:line="240" w:lineRule="auto"/>
        <w:ind w:left="-567" w:right="284"/>
        <w:jc w:val="both"/>
        <w:rPr>
          <w:rFonts w:cstheme="minorHAnsi"/>
          <w:sz w:val="14"/>
          <w:szCs w:val="14"/>
        </w:rPr>
      </w:pPr>
    </w:p>
    <w:p w:rsidR="00287B1D" w:rsidRDefault="00BB6CB9">
      <w:pPr>
        <w:pStyle w:val="Odstavecseseznamem"/>
        <w:spacing w:after="0"/>
        <w:ind w:left="-851" w:right="284"/>
        <w:jc w:val="both"/>
      </w:pPr>
      <w:r>
        <w:rPr>
          <w:noProof/>
          <w:lang w:eastAsia="cs-CZ"/>
        </w:rPr>
        <mc:AlternateContent>
          <mc:Choice Requires="wps">
            <w:drawing>
              <wp:inline distT="0" distB="0" distL="0" distR="0">
                <wp:extent cx="169545" cy="134620"/>
                <wp:effectExtent l="0" t="0" r="0" b="0"/>
                <wp:docPr id="39" name="Obrázek 39"/>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82"/>
                        <a:stretch/>
                      </pic:blipFill>
                      <pic:spPr>
                        <a:xfrm>
                          <a:off x="0" y="0"/>
                          <a:ext cx="168840" cy="133920"/>
                        </a:xfrm>
                        <a:prstGeom prst="rect">
                          <a:avLst/>
                        </a:prstGeom>
                        <a:ln>
                          <a:noFill/>
                        </a:ln>
                      </pic:spPr>
                    </pic:pic>
                  </a:graphicData>
                </a:graphic>
              </wp:inline>
            </w:drawing>
          </mc:Choice>
          <mc:Fallback>
            <w:pict>
              <v:shape id="shape_0" stroked="f" style="position:absolute;margin-left:0pt;margin-top:-10.6pt;width:13.25pt;height:10.5pt;mso-position-vertical:top" type="shapetype_75">
                <v:imagedata r:id="rId83" o:detectmouseclick="t"/>
                <w10:wrap type="none"/>
                <v:stroke color="#3465a4" joinstyle="round" endcap="flat"/>
              </v:shape>
            </w:pict>
          </mc:Fallback>
        </mc:AlternateContent>
      </w:r>
      <w:r>
        <w:rPr>
          <w:b/>
          <w:i/>
          <w:color w:val="0000FF"/>
        </w:rPr>
        <w:t xml:space="preserve"> </w:t>
      </w:r>
      <w:r>
        <w:rPr>
          <w:b/>
          <w:i/>
          <w:color w:val="0000FF"/>
          <w:u w:val="single"/>
        </w:rPr>
        <w:t>Upozornění</w:t>
      </w:r>
      <w:r>
        <w:rPr>
          <w:i/>
          <w:color w:val="0000FF"/>
          <w:u w:val="single"/>
        </w:rPr>
        <w:t xml:space="preserve">: </w:t>
      </w:r>
      <w:r>
        <w:t>Technologie se prodává jako suchá (nezavodněná)</w:t>
      </w:r>
      <w:r>
        <w:rPr>
          <w:vertAlign w:val="subscript"/>
        </w:rPr>
        <w:t>1</w:t>
      </w:r>
      <w:r>
        <w:t xml:space="preserve"> nebo mokrá (</w:t>
      </w:r>
      <w:proofErr w:type="gramStart"/>
      <w:r>
        <w:t>zavodněná)</w:t>
      </w:r>
      <w:r>
        <w:rPr>
          <w:vertAlign w:val="subscript"/>
        </w:rPr>
        <w:t>2 .</w:t>
      </w:r>
      <w:r>
        <w:t xml:space="preserve"> Obě</w:t>
      </w:r>
      <w:proofErr w:type="gramEnd"/>
      <w:r>
        <w:t xml:space="preserve"> kombinace vyžadují desinfekci před prvním spuštěním ! </w:t>
      </w:r>
      <w:r>
        <w:rPr>
          <w:vertAlign w:val="subscript"/>
        </w:rPr>
        <w:t>1,2</w:t>
      </w:r>
    </w:p>
    <w:p w:rsidR="00287B1D" w:rsidRDefault="00287B1D">
      <w:pPr>
        <w:spacing w:after="0"/>
        <w:ind w:left="-567" w:right="284" w:firstLine="1275"/>
        <w:jc w:val="both"/>
      </w:pPr>
    </w:p>
    <w:p w:rsidR="00287B1D" w:rsidRDefault="00BB6CB9">
      <w:pPr>
        <w:spacing w:after="0"/>
        <w:ind w:left="-567" w:right="284" w:firstLine="1275"/>
        <w:jc w:val="both"/>
      </w:pPr>
      <w:r>
        <w:lastRenderedPageBreak/>
        <w:t xml:space="preserve">Je bezpodmínečně nutné, aby při prvotní montáži nebo po řádném či mimořádném  servisním zásahu, byla provedena desinfekce </w:t>
      </w:r>
      <w:proofErr w:type="gramStart"/>
      <w:r>
        <w:t>systému.</w:t>
      </w:r>
      <w:r>
        <w:rPr>
          <w:vertAlign w:val="subscript"/>
        </w:rPr>
        <w:t>1,2</w:t>
      </w:r>
      <w:proofErr w:type="gramEnd"/>
      <w:r>
        <w:t xml:space="preserve"> Desinfikuje se třetí obal filtru, před vložením  motaného filtru. </w:t>
      </w:r>
      <w:r>
        <w:rPr>
          <w:noProof/>
          <w:lang w:eastAsia="cs-CZ"/>
        </w:rPr>
        <w:drawing>
          <wp:inline distT="0" distB="0" distL="0" distR="0">
            <wp:extent cx="140335" cy="116840"/>
            <wp:effectExtent l="0" t="0" r="0" b="0"/>
            <wp:docPr id="40" name="Obrázek 75" descr="C:\Users\admin\AppData\Local\Microsoft\Windows\INetCache\Content.Outlook\CM2G4B07\oranžové výstražné znamení warning-sign-symbol-computer-icons-clip-art-png-favpng-nxB58Ttm1dHQi70j3XvRcyy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75" descr="C:\Users\admin\AppData\Local\Microsoft\Windows\INetCache\Content.Outlook\CM2G4B07\oranžové výstražné znamení warning-sign-symbol-computer-icons-clip-art-png-favpng-nxB58Ttm1dHQi70j3XvRcyyDa.jpg"/>
                    <pic:cNvPicPr>
                      <a:picLocks noChangeAspect="1" noChangeArrowheads="1"/>
                    </pic:cNvPicPr>
                  </pic:nvPicPr>
                  <pic:blipFill>
                    <a:blip r:embed="rId84"/>
                    <a:stretch>
                      <a:fillRect/>
                    </a:stretch>
                  </pic:blipFill>
                  <pic:spPr bwMode="auto">
                    <a:xfrm flipH="1">
                      <a:off x="0" y="0"/>
                      <a:ext cx="140335" cy="116840"/>
                    </a:xfrm>
                    <a:prstGeom prst="rect">
                      <a:avLst/>
                    </a:prstGeom>
                  </pic:spPr>
                </pic:pic>
              </a:graphicData>
            </a:graphic>
          </wp:inline>
        </w:drawing>
      </w:r>
      <w:r>
        <w:t xml:space="preserve"> Dále se ve výrobě/kompletaci, desinfikuje </w:t>
      </w:r>
      <w:r>
        <w:rPr>
          <w:i/>
          <w:u w:val="single"/>
        </w:rPr>
        <w:t>tlaková nádrž</w:t>
      </w:r>
      <w:r>
        <w:rPr>
          <w:i/>
          <w:color w:val="FF0000"/>
          <w:u w:val="single"/>
        </w:rPr>
        <w:t>*</w:t>
      </w:r>
      <w:r>
        <w:t xml:space="preserve">. Při servisním zásahu, kdy se mění </w:t>
      </w:r>
      <w:r>
        <w:rPr>
          <w:noProof/>
          <w:lang w:eastAsia="cs-CZ"/>
        </w:rPr>
        <w:drawing>
          <wp:inline distT="0" distB="0" distL="0" distR="0">
            <wp:extent cx="140335" cy="116840"/>
            <wp:effectExtent l="0" t="0" r="0" b="0"/>
            <wp:docPr id="41" name="Obrázek 74" descr="C:\Users\admin\AppData\Local\Microsoft\Windows\INetCache\Content.Outlook\CM2G4B07\oranžové výstražné znamení warning-sign-symbol-computer-icons-clip-art-png-favpng-nxB58Ttm1dHQi70j3XvRcyy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 74" descr="C:\Users\admin\AppData\Local\Microsoft\Windows\INetCache\Content.Outlook\CM2G4B07\oranžové výstražné znamení warning-sign-symbol-computer-icons-clip-art-png-favpng-nxB58Ttm1dHQi70j3XvRcyyDa.jpg"/>
                    <pic:cNvPicPr>
                      <a:picLocks noChangeAspect="1" noChangeArrowheads="1"/>
                    </pic:cNvPicPr>
                  </pic:nvPicPr>
                  <pic:blipFill>
                    <a:blip r:embed="rId84"/>
                    <a:stretch>
                      <a:fillRect/>
                    </a:stretch>
                  </pic:blipFill>
                  <pic:spPr bwMode="auto">
                    <a:xfrm flipH="1">
                      <a:off x="0" y="0"/>
                      <a:ext cx="140335" cy="116840"/>
                    </a:xfrm>
                    <a:prstGeom prst="rect">
                      <a:avLst/>
                    </a:prstGeom>
                  </pic:spPr>
                </pic:pic>
              </a:graphicData>
            </a:graphic>
          </wp:inline>
        </w:drawing>
      </w:r>
      <w:r>
        <w:t xml:space="preserve"> </w:t>
      </w:r>
      <w:r>
        <w:rPr>
          <w:i/>
          <w:u w:val="single"/>
        </w:rPr>
        <w:t>spirální modul</w:t>
      </w:r>
      <w:r>
        <w:t xml:space="preserve"> (</w:t>
      </w:r>
      <w:r>
        <w:rPr>
          <w:b/>
        </w:rPr>
        <w:t>SM</w:t>
      </w:r>
      <w:r>
        <w:t xml:space="preserve">), je nutné tento modul </w:t>
      </w:r>
      <w:proofErr w:type="gramStart"/>
      <w:r>
        <w:t>umístit  před</w:t>
      </w:r>
      <w:proofErr w:type="gramEnd"/>
      <w:r>
        <w:t xml:space="preserve"> vložením do obalu na </w:t>
      </w:r>
      <w:r>
        <w:rPr>
          <w:b/>
        </w:rPr>
        <w:t>10</w:t>
      </w:r>
      <w:r>
        <w:t xml:space="preserve"> minut  do jednoho z uvedených roztoků, z důvodu  primární desinfekce povrchů </w:t>
      </w:r>
      <w:r>
        <w:rPr>
          <w:b/>
        </w:rPr>
        <w:t>SM</w:t>
      </w:r>
      <w:r>
        <w:t>.</w:t>
      </w:r>
    </w:p>
    <w:p w:rsidR="00287B1D" w:rsidRDefault="00BB6CB9">
      <w:pPr>
        <w:spacing w:after="0"/>
        <w:ind w:right="284"/>
        <w:jc w:val="both"/>
      </w:pPr>
      <w:r>
        <w:rPr>
          <w:noProof/>
          <w:lang w:eastAsia="cs-CZ"/>
        </w:rPr>
        <w:drawing>
          <wp:anchor distT="0" distB="0" distL="114300" distR="114300" simplePos="0" relativeHeight="59" behindDoc="0" locked="0" layoutInCell="1" allowOverlap="1">
            <wp:simplePos x="0" y="0"/>
            <wp:positionH relativeFrom="column">
              <wp:posOffset>4150360</wp:posOffset>
            </wp:positionH>
            <wp:positionV relativeFrom="paragraph">
              <wp:posOffset>333375</wp:posOffset>
            </wp:positionV>
            <wp:extent cx="1436370" cy="1139825"/>
            <wp:effectExtent l="0" t="0" r="0" b="0"/>
            <wp:wrapTight wrapText="bothSides">
              <wp:wrapPolygon edited="0">
                <wp:start x="-64" y="0"/>
                <wp:lineTo x="-64" y="21234"/>
                <wp:lineTo x="21193" y="21234"/>
                <wp:lineTo x="21193" y="0"/>
                <wp:lineTo x="-64" y="0"/>
              </wp:wrapPolygon>
            </wp:wrapTight>
            <wp:docPr id="42" name="Obrázek 72" descr="John Guest Quick Connect  Bulkhead Fitting 1/4&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 72" descr="John Guest Quick Connect  Bulkhead Fitting 1/4&quot;"/>
                    <pic:cNvPicPr>
                      <a:picLocks noChangeAspect="1" noChangeArrowheads="1"/>
                    </pic:cNvPicPr>
                  </pic:nvPicPr>
                  <pic:blipFill>
                    <a:blip r:embed="rId85"/>
                    <a:stretch>
                      <a:fillRect/>
                    </a:stretch>
                  </pic:blipFill>
                  <pic:spPr bwMode="auto">
                    <a:xfrm>
                      <a:off x="0" y="0"/>
                      <a:ext cx="1436370" cy="1139825"/>
                    </a:xfrm>
                    <a:prstGeom prst="rect">
                      <a:avLst/>
                    </a:prstGeom>
                  </pic:spPr>
                </pic:pic>
              </a:graphicData>
            </a:graphic>
          </wp:anchor>
        </w:drawing>
      </w:r>
      <w:r>
        <w:t xml:space="preserve">              </w:t>
      </w:r>
      <w:r>
        <w:rPr>
          <w:noProof/>
          <w:lang w:eastAsia="cs-CZ"/>
        </w:rPr>
        <w:drawing>
          <wp:inline distT="0" distB="0" distL="0" distR="0">
            <wp:extent cx="1638300" cy="1638300"/>
            <wp:effectExtent l="0" t="0" r="0" b="0"/>
            <wp:docPr id="43" name="Obrázek 89" descr="https://www.rostlinna-akvaria.cz/upload/25750-1208415236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 89" descr="https://www.rostlinna-akvaria.cz/upload/25750-1208415236_m.jpg"/>
                    <pic:cNvPicPr>
                      <a:picLocks noChangeAspect="1" noChangeArrowheads="1"/>
                    </pic:cNvPicPr>
                  </pic:nvPicPr>
                  <pic:blipFill>
                    <a:blip r:embed="rId86"/>
                    <a:stretch>
                      <a:fillRect/>
                    </a:stretch>
                  </pic:blipFill>
                  <pic:spPr bwMode="auto">
                    <a:xfrm>
                      <a:off x="0" y="0"/>
                      <a:ext cx="1638300" cy="1638300"/>
                    </a:xfrm>
                    <a:prstGeom prst="rect">
                      <a:avLst/>
                    </a:prstGeom>
                  </pic:spPr>
                </pic:pic>
              </a:graphicData>
            </a:graphic>
          </wp:inline>
        </w:drawing>
      </w:r>
      <w:r>
        <w:t xml:space="preserve">                             </w:t>
      </w:r>
    </w:p>
    <w:p w:rsidR="00287B1D" w:rsidRDefault="00BB6CB9">
      <w:pPr>
        <w:spacing w:after="0"/>
        <w:ind w:left="-567" w:right="284"/>
        <w:jc w:val="both"/>
        <w:rPr>
          <w:sz w:val="14"/>
          <w:szCs w:val="14"/>
        </w:rPr>
      </w:pPr>
      <w:r>
        <w:rPr>
          <w:sz w:val="14"/>
          <w:szCs w:val="14"/>
        </w:rPr>
        <w:t xml:space="preserve"> </w:t>
      </w:r>
      <w:proofErr w:type="gramStart"/>
      <w:r>
        <w:rPr>
          <w:sz w:val="14"/>
          <w:szCs w:val="14"/>
        </w:rPr>
        <w:t>Obr.27</w:t>
      </w:r>
      <w:proofErr w:type="gramEnd"/>
      <w:r>
        <w:rPr>
          <w:sz w:val="14"/>
          <w:szCs w:val="14"/>
        </w:rPr>
        <w:t xml:space="preserve"> Vzor - tlaková nádrž pro filtrační systém AQ3 Mini   (chybí u AQ3 Mini Basic, Café)       Obr.28  QC ¼“ na levém boku nerez rámu</w:t>
      </w:r>
    </w:p>
    <w:p w:rsidR="00287B1D" w:rsidRDefault="00287B1D">
      <w:pPr>
        <w:spacing w:after="0"/>
        <w:ind w:left="-567" w:right="284"/>
        <w:jc w:val="both"/>
        <w:rPr>
          <w:sz w:val="14"/>
          <w:szCs w:val="14"/>
        </w:rPr>
      </w:pPr>
    </w:p>
    <w:p w:rsidR="00287B1D" w:rsidRDefault="00287B1D">
      <w:pPr>
        <w:spacing w:after="0"/>
        <w:ind w:left="-567" w:right="284"/>
        <w:jc w:val="both"/>
        <w:rPr>
          <w:sz w:val="14"/>
          <w:szCs w:val="14"/>
        </w:rPr>
      </w:pPr>
    </w:p>
    <w:p w:rsidR="00BB7A9C" w:rsidRDefault="00BB7A9C">
      <w:pPr>
        <w:spacing w:after="0"/>
        <w:ind w:left="-567" w:right="284"/>
        <w:jc w:val="both"/>
        <w:rPr>
          <w:sz w:val="14"/>
          <w:szCs w:val="14"/>
        </w:rPr>
      </w:pPr>
    </w:p>
    <w:p w:rsidR="00287B1D" w:rsidRDefault="00BB6CB9">
      <w:pPr>
        <w:ind w:left="-567" w:right="284"/>
        <w:jc w:val="center"/>
        <w:rPr>
          <w:b/>
          <w:i/>
          <w:color w:val="FF0000"/>
          <w:u w:val="single"/>
        </w:rPr>
      </w:pPr>
      <w:r>
        <w:rPr>
          <w:b/>
          <w:i/>
          <w:color w:val="FF0000"/>
          <w:u w:val="single"/>
        </w:rPr>
        <w:t>ad 16) Popis funkce servisního desinfekčního modulu SDM</w:t>
      </w:r>
    </w:p>
    <w:p w:rsidR="00287B1D" w:rsidRDefault="00BB6CB9">
      <w:pPr>
        <w:pStyle w:val="Odstavecseseznamem"/>
        <w:numPr>
          <w:ilvl w:val="0"/>
          <w:numId w:val="16"/>
        </w:numPr>
        <w:tabs>
          <w:tab w:val="clear" w:pos="720"/>
          <w:tab w:val="left" w:pos="-567"/>
        </w:tabs>
        <w:spacing w:after="0"/>
        <w:ind w:right="284" w:hanging="1571"/>
        <w:jc w:val="both"/>
      </w:pPr>
      <w:r>
        <w:rPr>
          <w:rFonts w:cstheme="minorHAnsi"/>
          <w:u w:val="single"/>
        </w:rPr>
        <w:t>Poznámka</w:t>
      </w:r>
      <w:r>
        <w:rPr>
          <w:rFonts w:cstheme="minorHAnsi"/>
          <w:color w:val="FF0000"/>
          <w:u w:val="single"/>
        </w:rPr>
        <w:t>*</w:t>
      </w:r>
      <w:r>
        <w:rPr>
          <w:rFonts w:cstheme="minorHAnsi"/>
          <w:u w:val="single"/>
        </w:rPr>
        <w:t xml:space="preserve">: </w:t>
      </w:r>
    </w:p>
    <w:p w:rsidR="00287B1D" w:rsidRDefault="00287B1D">
      <w:pPr>
        <w:pStyle w:val="Odstavecseseznamem"/>
        <w:spacing w:after="0"/>
        <w:ind w:right="284"/>
        <w:jc w:val="both"/>
      </w:pPr>
    </w:p>
    <w:p w:rsidR="00287B1D" w:rsidRDefault="00BB6CB9">
      <w:pPr>
        <w:spacing w:after="0"/>
        <w:ind w:left="-567" w:right="284"/>
        <w:jc w:val="both"/>
        <w:rPr>
          <w:lang w:eastAsia="cs-CZ"/>
        </w:rPr>
      </w:pPr>
      <w:r>
        <w:t xml:space="preserve">Jako příslušenství, lze dodat </w:t>
      </w:r>
      <w:r>
        <w:rPr>
          <w:color w:val="FF0000"/>
        </w:rPr>
        <w:t xml:space="preserve">servisní desinfekční modul </w:t>
      </w:r>
      <w:r>
        <w:t>(</w:t>
      </w:r>
      <w:r>
        <w:rPr>
          <w:b/>
        </w:rPr>
        <w:t>SDM</w:t>
      </w:r>
      <w:r>
        <w:t xml:space="preserve">), který se po dobu desinfekce vloží mezi tlakovou nádrž a levý </w:t>
      </w:r>
      <w:r>
        <w:rPr>
          <w:highlight w:val="yellow"/>
        </w:rPr>
        <w:t>žlutý</w:t>
      </w:r>
      <w:r>
        <w:t xml:space="preserve"> vstupní QC na boku filtrační technologie. Na </w:t>
      </w:r>
      <w:r>
        <w:rPr>
          <w:b/>
        </w:rPr>
        <w:t>SDM</w:t>
      </w:r>
      <w:r>
        <w:t xml:space="preserve"> se zavřou vstupní a výstupní kohouty,</w:t>
      </w:r>
      <w:r>
        <w:rPr>
          <w:b/>
        </w:rPr>
        <w:t xml:space="preserve"> SDM</w:t>
      </w:r>
      <w:r>
        <w:t xml:space="preserve"> se otevře, napustí se do něho desinfekční </w:t>
      </w:r>
      <w:proofErr w:type="gramStart"/>
      <w:r>
        <w:t>roztok  (Peroxidu</w:t>
      </w:r>
      <w:proofErr w:type="gramEnd"/>
      <w:r>
        <w:t xml:space="preserve"> vodíku </w:t>
      </w:r>
      <w:r>
        <w:rPr>
          <w:rFonts w:ascii="Arial" w:hAnsi="Arial" w:cs="Arial"/>
          <w:color w:val="202124"/>
          <w:sz w:val="21"/>
          <w:szCs w:val="21"/>
          <w:shd w:val="clear" w:color="auto" w:fill="FFFFFF"/>
        </w:rPr>
        <w:t>H</w:t>
      </w:r>
      <w:r>
        <w:rPr>
          <w:rFonts w:ascii="Arial" w:hAnsi="Arial" w:cs="Arial"/>
          <w:color w:val="202124"/>
          <w:shd w:val="clear" w:color="auto" w:fill="FFFFFF"/>
          <w:vertAlign w:val="subscript"/>
        </w:rPr>
        <w:t>2</w:t>
      </w:r>
      <w:r>
        <w:rPr>
          <w:rFonts w:ascii="Arial" w:hAnsi="Arial" w:cs="Arial"/>
          <w:color w:val="202124"/>
          <w:sz w:val="21"/>
          <w:szCs w:val="21"/>
          <w:shd w:val="clear" w:color="auto" w:fill="FFFFFF"/>
        </w:rPr>
        <w:t>O</w:t>
      </w:r>
      <w:r>
        <w:rPr>
          <w:rFonts w:ascii="Arial" w:hAnsi="Arial" w:cs="Arial"/>
          <w:color w:val="202124"/>
          <w:shd w:val="clear" w:color="auto" w:fill="FFFFFF"/>
          <w:vertAlign w:val="subscript"/>
        </w:rPr>
        <w:t xml:space="preserve">2  </w:t>
      </w:r>
      <w:r>
        <w:rPr>
          <w:b/>
        </w:rPr>
        <w:t>3</w:t>
      </w:r>
      <w:r>
        <w:t>%, alternativně Kyseliny citronové C</w:t>
      </w:r>
      <w:r>
        <w:rPr>
          <w:vertAlign w:val="subscript"/>
        </w:rPr>
        <w:t>6</w:t>
      </w:r>
      <w:r>
        <w:t>H</w:t>
      </w:r>
      <w:r>
        <w:rPr>
          <w:vertAlign w:val="subscript"/>
        </w:rPr>
        <w:t>8</w:t>
      </w:r>
      <w:r>
        <w:t>O</w:t>
      </w:r>
      <w:r>
        <w:rPr>
          <w:vertAlign w:val="subscript"/>
        </w:rPr>
        <w:t>7</w:t>
      </w:r>
      <w:r>
        <w:t xml:space="preserve"> – monohydrát </w:t>
      </w:r>
      <w:r>
        <w:rPr>
          <w:b/>
        </w:rPr>
        <w:t>99</w:t>
      </w:r>
      <w:r>
        <w:t>%, v </w:t>
      </w:r>
      <w:r>
        <w:rPr>
          <w:b/>
        </w:rPr>
        <w:t>5</w:t>
      </w:r>
      <w:r>
        <w:t>% koncentraci) o objemu</w:t>
      </w:r>
      <w:r>
        <w:rPr>
          <w:b/>
        </w:rPr>
        <w:t xml:space="preserve"> 0.33</w:t>
      </w:r>
      <w:r>
        <w:t xml:space="preserve"> l, zavře se kohout </w:t>
      </w:r>
      <w:r>
        <w:rPr>
          <w:b/>
        </w:rPr>
        <w:t>C5</w:t>
      </w:r>
      <w:r>
        <w:t xml:space="preserve">  a na nádrži </w:t>
      </w:r>
      <w:r>
        <w:rPr>
          <w:b/>
        </w:rPr>
        <w:t>D2</w:t>
      </w:r>
      <w:r>
        <w:t xml:space="preserve"> a </w:t>
      </w:r>
      <w:r>
        <w:rPr>
          <w:b/>
        </w:rPr>
        <w:t>SDM</w:t>
      </w:r>
      <w:r>
        <w:t xml:space="preserve"> se připojí na </w:t>
      </w:r>
      <w:r>
        <w:rPr>
          <w:highlight w:val="yellow"/>
        </w:rPr>
        <w:t>QC</w:t>
      </w:r>
      <w:r>
        <w:t xml:space="preserve">* na levém boku technologie a na </w:t>
      </w:r>
      <w:r>
        <w:rPr>
          <w:highlight w:val="yellow"/>
        </w:rPr>
        <w:t>žlutou</w:t>
      </w:r>
      <w:r>
        <w:t xml:space="preserve"> hadičku od tlakové nádrže. Po připojení </w:t>
      </w:r>
      <w:r>
        <w:rPr>
          <w:b/>
        </w:rPr>
        <w:t>SDM</w:t>
      </w:r>
      <w:r>
        <w:t xml:space="preserve">  s desinfekčním roztokem, se oba kohouty otevřou (včetně </w:t>
      </w:r>
      <w:r>
        <w:rPr>
          <w:b/>
        </w:rPr>
        <w:t>C5, D2</w:t>
      </w:r>
      <w:r>
        <w:t xml:space="preserve">) a čeká se na napuštění veškeré desinfekce do technologie kohoutem  </w:t>
      </w:r>
      <w:r>
        <w:rPr>
          <w:b/>
        </w:rPr>
        <w:t>A6</w:t>
      </w:r>
      <w:r>
        <w:t>.</w:t>
      </w:r>
      <w:r>
        <w:rPr>
          <w:lang w:eastAsia="cs-CZ"/>
        </w:rPr>
        <w:t xml:space="preserve"> </w:t>
      </w:r>
    </w:p>
    <w:p w:rsidR="00287B1D" w:rsidRDefault="00BB6CB9">
      <w:pPr>
        <w:spacing w:after="0"/>
        <w:ind w:left="-284" w:right="284"/>
        <w:jc w:val="both"/>
      </w:pPr>
      <w:r>
        <w:rPr>
          <w:lang w:eastAsia="cs-CZ"/>
        </w:rPr>
        <w:t xml:space="preserve">   </w:t>
      </w:r>
      <w:r>
        <w:rPr>
          <w:noProof/>
          <w:lang w:eastAsia="cs-CZ"/>
        </w:rPr>
        <w:drawing>
          <wp:inline distT="0" distB="0" distL="0" distR="0">
            <wp:extent cx="1572260" cy="1572260"/>
            <wp:effectExtent l="0" t="0" r="0" b="0"/>
            <wp:docPr id="44" name="Obrázek 53" descr="John Guest • SIMA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53" descr="John Guest • SIMACO"/>
                    <pic:cNvPicPr>
                      <a:picLocks noChangeAspect="1" noChangeArrowheads="1"/>
                    </pic:cNvPicPr>
                  </pic:nvPicPr>
                  <pic:blipFill>
                    <a:blip r:embed="rId87"/>
                    <a:stretch>
                      <a:fillRect/>
                    </a:stretch>
                  </pic:blipFill>
                  <pic:spPr bwMode="auto">
                    <a:xfrm>
                      <a:off x="0" y="0"/>
                      <a:ext cx="1572260" cy="1572260"/>
                    </a:xfrm>
                    <a:prstGeom prst="rect">
                      <a:avLst/>
                    </a:prstGeom>
                  </pic:spPr>
                </pic:pic>
              </a:graphicData>
            </a:graphic>
          </wp:inline>
        </w:drawing>
      </w:r>
      <w:r>
        <w:rPr>
          <w:noProof/>
          <w:lang w:eastAsia="cs-CZ"/>
        </w:rPr>
        <w:drawing>
          <wp:inline distT="0" distB="0" distL="0" distR="0">
            <wp:extent cx="2149475" cy="1614805"/>
            <wp:effectExtent l="0" t="0" r="0" b="0"/>
            <wp:docPr id="45" name="Obrázek 61" descr="John Guest - Coffee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61" descr="John Guest - CoffeeHub"/>
                    <pic:cNvPicPr>
                      <a:picLocks noChangeAspect="1" noChangeArrowheads="1"/>
                    </pic:cNvPicPr>
                  </pic:nvPicPr>
                  <pic:blipFill>
                    <a:blip r:embed="rId88"/>
                    <a:stretch>
                      <a:fillRect/>
                    </a:stretch>
                  </pic:blipFill>
                  <pic:spPr bwMode="auto">
                    <a:xfrm>
                      <a:off x="0" y="0"/>
                      <a:ext cx="2149475" cy="1614805"/>
                    </a:xfrm>
                    <a:prstGeom prst="rect">
                      <a:avLst/>
                    </a:prstGeom>
                  </pic:spPr>
                </pic:pic>
              </a:graphicData>
            </a:graphic>
          </wp:inline>
        </w:drawing>
      </w:r>
      <w:r>
        <w:rPr>
          <w:lang w:eastAsia="cs-CZ"/>
        </w:rPr>
        <w:t xml:space="preserve">        </w:t>
      </w:r>
      <w:r>
        <w:rPr>
          <w:noProof/>
          <w:lang w:eastAsia="cs-CZ"/>
        </w:rPr>
        <w:drawing>
          <wp:inline distT="0" distB="0" distL="0" distR="0">
            <wp:extent cx="1650365" cy="1650365"/>
            <wp:effectExtent l="0" t="0" r="0" b="0"/>
            <wp:docPr id="46" name="Obrázek 62" descr="Wasseranschluss John Guest - Neues Was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62" descr="Wasseranschluss John Guest - Neues Wasser"/>
                    <pic:cNvPicPr>
                      <a:picLocks noChangeAspect="1" noChangeArrowheads="1"/>
                    </pic:cNvPicPr>
                  </pic:nvPicPr>
                  <pic:blipFill>
                    <a:blip r:embed="rId89"/>
                    <a:stretch>
                      <a:fillRect/>
                    </a:stretch>
                  </pic:blipFill>
                  <pic:spPr bwMode="auto">
                    <a:xfrm>
                      <a:off x="0" y="0"/>
                      <a:ext cx="1650365" cy="1650365"/>
                    </a:xfrm>
                    <a:prstGeom prst="rect">
                      <a:avLst/>
                    </a:prstGeom>
                  </pic:spPr>
                </pic:pic>
              </a:graphicData>
            </a:graphic>
          </wp:inline>
        </w:drawing>
      </w:r>
    </w:p>
    <w:p w:rsidR="00287B1D" w:rsidRDefault="00BB6CB9">
      <w:pPr>
        <w:spacing w:after="0"/>
        <w:ind w:left="-567" w:right="284"/>
        <w:rPr>
          <w:sz w:val="14"/>
          <w:szCs w:val="14"/>
        </w:rPr>
      </w:pPr>
      <w:r>
        <w:rPr>
          <w:sz w:val="16"/>
          <w:szCs w:val="16"/>
        </w:rPr>
        <w:t xml:space="preserve"> </w:t>
      </w:r>
      <w:proofErr w:type="gramStart"/>
      <w:r>
        <w:rPr>
          <w:sz w:val="14"/>
          <w:szCs w:val="14"/>
        </w:rPr>
        <w:t>Obr.29</w:t>
      </w:r>
      <w:proofErr w:type="gramEnd"/>
      <w:r>
        <w:rPr>
          <w:sz w:val="14"/>
          <w:szCs w:val="14"/>
        </w:rPr>
        <w:t xml:space="preserve"> Kohout D2 a na SDM (chybí u AQ3 Mini Basic)    Obr.30 Kohout A4, </w:t>
      </w:r>
      <w:r>
        <w:rPr>
          <w:color w:val="FF0000"/>
          <w:sz w:val="14"/>
          <w:szCs w:val="14"/>
        </w:rPr>
        <w:t>C6</w:t>
      </w:r>
      <w:r>
        <w:rPr>
          <w:sz w:val="14"/>
          <w:szCs w:val="14"/>
        </w:rPr>
        <w:t xml:space="preserve">, </w:t>
      </w:r>
      <w:r>
        <w:rPr>
          <w:color w:val="FF0000"/>
          <w:sz w:val="14"/>
          <w:szCs w:val="14"/>
        </w:rPr>
        <w:t>C5</w:t>
      </w:r>
      <w:r>
        <w:rPr>
          <w:sz w:val="14"/>
          <w:szCs w:val="14"/>
        </w:rPr>
        <w:t>, E5</w:t>
      </w:r>
      <w:r>
        <w:rPr>
          <w:b/>
          <w:sz w:val="14"/>
          <w:szCs w:val="14"/>
        </w:rPr>
        <w:t xml:space="preserve"> </w:t>
      </w:r>
      <w:r>
        <w:rPr>
          <w:sz w:val="14"/>
          <w:szCs w:val="14"/>
        </w:rPr>
        <w:t>(</w:t>
      </w:r>
      <w:r>
        <w:rPr>
          <w:color w:val="FF0000"/>
          <w:sz w:val="14"/>
          <w:szCs w:val="14"/>
        </w:rPr>
        <w:t xml:space="preserve">chybí u AQ3 MiniBasic </w:t>
      </w:r>
      <w:r>
        <w:rPr>
          <w:sz w:val="14"/>
          <w:szCs w:val="14"/>
        </w:rPr>
        <w:t>)     Obr.31 Kohout A5, A6</w:t>
      </w:r>
    </w:p>
    <w:p w:rsidR="00287B1D" w:rsidRDefault="00287B1D">
      <w:pPr>
        <w:spacing w:after="0"/>
        <w:ind w:left="-567" w:right="284"/>
        <w:rPr>
          <w:sz w:val="14"/>
          <w:szCs w:val="14"/>
        </w:rPr>
      </w:pPr>
    </w:p>
    <w:p w:rsidR="00287B1D" w:rsidRDefault="00287B1D">
      <w:pPr>
        <w:spacing w:after="0"/>
        <w:ind w:left="-567" w:right="284"/>
        <w:rPr>
          <w:sz w:val="14"/>
          <w:szCs w:val="14"/>
        </w:rPr>
      </w:pPr>
    </w:p>
    <w:p w:rsidR="00287B1D" w:rsidRDefault="00BB6CB9">
      <w:pPr>
        <w:spacing w:after="0"/>
        <w:ind w:left="-567" w:right="284" w:firstLine="1275"/>
        <w:jc w:val="both"/>
      </w:pPr>
      <w:r>
        <w:t xml:space="preserve">Jakmile se desinfekce napustí do nádrže, kohouty na </w:t>
      </w:r>
      <w:r>
        <w:rPr>
          <w:b/>
        </w:rPr>
        <w:t>SDM</w:t>
      </w:r>
      <w:r>
        <w:t xml:space="preserve"> se uzavřou, uzavře se kohout </w:t>
      </w:r>
      <w:r>
        <w:rPr>
          <w:b/>
        </w:rPr>
        <w:t xml:space="preserve">C5 </w:t>
      </w:r>
      <w:r>
        <w:t xml:space="preserve">a na nádrži kohout </w:t>
      </w:r>
      <w:r>
        <w:rPr>
          <w:b/>
        </w:rPr>
        <w:t>D2*.</w:t>
      </w:r>
      <w:r>
        <w:t xml:space="preserve"> V nádrži se desinfekce nechá působit ~ </w:t>
      </w:r>
      <w:r>
        <w:rPr>
          <w:b/>
        </w:rPr>
        <w:t>½</w:t>
      </w:r>
      <w:r>
        <w:t xml:space="preserve"> hodiny. </w:t>
      </w:r>
      <w:r>
        <w:rPr>
          <w:highlight w:val="yellow"/>
        </w:rPr>
        <w:t>Žlutá hadička</w:t>
      </w:r>
      <w:r>
        <w:t xml:space="preserve"> od nádrže se odpojí od výstupu </w:t>
      </w:r>
      <w:r>
        <w:rPr>
          <w:b/>
        </w:rPr>
        <w:t>SDM</w:t>
      </w:r>
      <w:r>
        <w:t xml:space="preserve"> a nádrž se zcela vypustí do </w:t>
      </w:r>
      <w:r>
        <w:lastRenderedPageBreak/>
        <w:t xml:space="preserve">odpadu.  Následně se </w:t>
      </w:r>
      <w:r>
        <w:rPr>
          <w:highlight w:val="yellow"/>
        </w:rPr>
        <w:t>žlutá hadička</w:t>
      </w:r>
      <w:r>
        <w:t xml:space="preserve"> opět připojí k výstupu </w:t>
      </w:r>
      <w:r>
        <w:rPr>
          <w:b/>
        </w:rPr>
        <w:t>SDM</w:t>
      </w:r>
      <w:r>
        <w:t xml:space="preserve"> a </w:t>
      </w:r>
      <w:r>
        <w:rPr>
          <w:b/>
        </w:rPr>
        <w:t>SDM</w:t>
      </w:r>
      <w:r>
        <w:t xml:space="preserve"> se znovu napustí desinfekčním roztokem </w:t>
      </w:r>
      <w:r>
        <w:rPr>
          <w:b/>
        </w:rPr>
        <w:t xml:space="preserve">0.33 </w:t>
      </w:r>
      <w:r>
        <w:t xml:space="preserve">l. Otevře se kohout  </w:t>
      </w:r>
      <w:r>
        <w:rPr>
          <w:b/>
        </w:rPr>
        <w:t>C5*</w:t>
      </w:r>
      <w:r>
        <w:t xml:space="preserve"> a na nádrži  </w:t>
      </w:r>
      <w:r>
        <w:rPr>
          <w:b/>
        </w:rPr>
        <w:t>D2*</w:t>
      </w:r>
      <w:r>
        <w:t xml:space="preserve">, otevřou se kohouty na </w:t>
      </w:r>
      <w:r>
        <w:rPr>
          <w:b/>
        </w:rPr>
        <w:t>SDM</w:t>
      </w:r>
      <w:r>
        <w:t xml:space="preserve">  a vstupním kohoutem </w:t>
      </w:r>
      <w:r>
        <w:rPr>
          <w:b/>
        </w:rPr>
        <w:t xml:space="preserve">A6* </w:t>
      </w:r>
      <w:r>
        <w:t>se napustí</w:t>
      </w:r>
      <w:r>
        <w:rPr>
          <w:b/>
        </w:rPr>
        <w:t xml:space="preserve"> </w:t>
      </w:r>
      <w:r>
        <w:t xml:space="preserve">systém, včetně nádrže. </w:t>
      </w:r>
    </w:p>
    <w:p w:rsidR="00287B1D" w:rsidRDefault="00287B1D">
      <w:pPr>
        <w:spacing w:after="0"/>
        <w:ind w:left="-567" w:right="284" w:firstLine="1275"/>
        <w:jc w:val="both"/>
      </w:pPr>
    </w:p>
    <w:p w:rsidR="00287B1D" w:rsidRDefault="00BB6CB9">
      <w:pPr>
        <w:spacing w:after="0"/>
        <w:ind w:left="-567" w:right="284" w:firstLine="1275"/>
        <w:jc w:val="both"/>
      </w:pPr>
      <w:r>
        <w:t xml:space="preserve">Desinfekce se nechá působit ~ </w:t>
      </w:r>
      <w:r>
        <w:rPr>
          <w:b/>
        </w:rPr>
        <w:t>½</w:t>
      </w:r>
      <w:r>
        <w:t xml:space="preserve"> hodiny. Poté se otevře odběrový kohout a systém se zcela vyprázdní. Pokud z kohoutku ucítíme zbytkovou desinfekci, proplach opakujeme bez časové prodlevy. Po posledním proplachu filtrační technologie, se kohout na nádrži uzavře, na </w:t>
      </w:r>
      <w:r>
        <w:rPr>
          <w:b/>
        </w:rPr>
        <w:t>SDM</w:t>
      </w:r>
      <w:r>
        <w:t xml:space="preserve"> se uzavřou oba kohouty (na obrázku) a uzavře se kohout </w:t>
      </w:r>
      <w:r>
        <w:rPr>
          <w:b/>
        </w:rPr>
        <w:t>C5</w:t>
      </w:r>
      <w:r>
        <w:t xml:space="preserve">*. Vyjme se </w:t>
      </w:r>
      <w:r>
        <w:rPr>
          <w:b/>
        </w:rPr>
        <w:t>SDM</w:t>
      </w:r>
      <w:r>
        <w:t xml:space="preserve"> a </w:t>
      </w:r>
      <w:r>
        <w:rPr>
          <w:highlight w:val="yellow"/>
        </w:rPr>
        <w:t>žlutá hadička</w:t>
      </w:r>
      <w:r>
        <w:t xml:space="preserve"> se připojí na přímo do </w:t>
      </w:r>
      <w:r>
        <w:rPr>
          <w:highlight w:val="yellow"/>
        </w:rPr>
        <w:t>QC</w:t>
      </w:r>
      <w:r>
        <w:t xml:space="preserve">* na levém boku filtrační technologie. Otevře se kohout na nádrži </w:t>
      </w:r>
      <w:r>
        <w:rPr>
          <w:b/>
        </w:rPr>
        <w:t>D2</w:t>
      </w:r>
      <w:r>
        <w:t xml:space="preserve">* a servisní kohout </w:t>
      </w:r>
      <w:r>
        <w:rPr>
          <w:b/>
        </w:rPr>
        <w:t>C5</w:t>
      </w:r>
      <w:r>
        <w:t xml:space="preserve">*. Po posledním proplachu se kontrolně měří vstupní a výstupní </w:t>
      </w:r>
      <w:r>
        <w:rPr>
          <w:b/>
        </w:rPr>
        <w:t>pH</w:t>
      </w:r>
      <w:r>
        <w:t xml:space="preserve">, </w:t>
      </w:r>
      <w:r>
        <w:rPr>
          <w:b/>
        </w:rPr>
        <w:t>PPM</w:t>
      </w:r>
      <w:r>
        <w:t xml:space="preserve">, </w:t>
      </w:r>
      <w:r>
        <w:rPr>
          <w:b/>
        </w:rPr>
        <w:t>TDS</w:t>
      </w:r>
      <w:r>
        <w:t>/</w:t>
      </w:r>
      <w:r>
        <w:rPr>
          <w:b/>
        </w:rPr>
        <w:t>EC</w:t>
      </w:r>
      <w:r>
        <w:t>.</w:t>
      </w:r>
      <w:r>
        <w:rPr>
          <w:sz w:val="16"/>
          <w:szCs w:val="16"/>
        </w:rPr>
        <w:t xml:space="preserve"> </w:t>
      </w:r>
      <w:r>
        <w:t xml:space="preserve">Viz </w:t>
      </w:r>
      <w:proofErr w:type="gramStart"/>
      <w:r>
        <w:t>obr.23</w:t>
      </w:r>
      <w:proofErr w:type="gramEnd"/>
      <w:r>
        <w:t xml:space="preserve"> v přílohách. U AQ3 Basic se </w:t>
      </w:r>
      <w:r>
        <w:rPr>
          <w:b/>
        </w:rPr>
        <w:t>SDM</w:t>
      </w:r>
      <w:r>
        <w:t xml:space="preserve"> připojuje na vstup filtrační technologie.</w:t>
      </w:r>
    </w:p>
    <w:p w:rsidR="00287B1D" w:rsidRDefault="00287B1D">
      <w:pPr>
        <w:spacing w:after="0"/>
        <w:ind w:left="-567" w:right="284" w:firstLine="1275"/>
        <w:jc w:val="both"/>
      </w:pPr>
    </w:p>
    <w:p w:rsidR="00AB7D93" w:rsidRPr="00AB7D93" w:rsidRDefault="00BB6CB9" w:rsidP="00AB7D93">
      <w:pPr>
        <w:shd w:val="clear" w:color="auto" w:fill="FFFFFF"/>
        <w:ind w:right="567"/>
        <w:jc w:val="both"/>
        <w:rPr>
          <w:sz w:val="14"/>
          <w:szCs w:val="14"/>
          <w:lang w:eastAsia="cs-CZ"/>
        </w:rPr>
      </w:pPr>
      <w:r>
        <w:rPr>
          <w:b/>
          <w:color w:val="7030A0"/>
          <w:sz w:val="14"/>
          <w:szCs w:val="14"/>
        </w:rPr>
        <w:t xml:space="preserve">*viz </w:t>
      </w:r>
      <w:proofErr w:type="gramStart"/>
      <w:r>
        <w:rPr>
          <w:b/>
          <w:color w:val="7030A0"/>
          <w:sz w:val="14"/>
          <w:szCs w:val="14"/>
        </w:rPr>
        <w:t>obr.1 v přílohách</w:t>
      </w:r>
      <w:proofErr w:type="gramEnd"/>
      <w:r>
        <w:rPr>
          <w:b/>
          <w:color w:val="7030A0"/>
          <w:sz w:val="14"/>
          <w:szCs w:val="14"/>
        </w:rPr>
        <w:t xml:space="preserve"> a podrobně popsáno v servisním návodu na suchou a mokrou  desinfekci AQ3 Mini </w:t>
      </w:r>
      <w:r w:rsidRPr="00AB7D93">
        <w:rPr>
          <w:sz w:val="14"/>
          <w:szCs w:val="14"/>
        </w:rPr>
        <w:t xml:space="preserve">viz </w:t>
      </w:r>
      <w:hyperlink r:id="rId90">
        <w:r w:rsidRPr="00AB7D93">
          <w:rPr>
            <w:rStyle w:val="Internetovodkaz"/>
            <w:sz w:val="14"/>
            <w:szCs w:val="14"/>
          </w:rPr>
          <w:t>www.vti-cz.com</w:t>
        </w:r>
      </w:hyperlink>
      <w:r w:rsidR="00AB7D93" w:rsidRPr="00AB7D93">
        <w:rPr>
          <w:rStyle w:val="Internetovodkaz"/>
          <w:sz w:val="14"/>
          <w:szCs w:val="14"/>
        </w:rPr>
        <w:t xml:space="preserve"> </w:t>
      </w:r>
      <w:r w:rsidR="00AB7D93" w:rsidRPr="00AB7D93">
        <w:rPr>
          <w:sz w:val="14"/>
          <w:szCs w:val="14"/>
          <w:lang w:eastAsia="cs-CZ"/>
        </w:rPr>
        <w:t xml:space="preserve">nebo </w:t>
      </w:r>
      <w:hyperlink r:id="rId91" w:history="1">
        <w:r w:rsidR="00AB7D93" w:rsidRPr="00AB7D93">
          <w:rPr>
            <w:rStyle w:val="Hypertextovodkaz"/>
            <w:sz w:val="14"/>
            <w:szCs w:val="14"/>
            <w:lang w:eastAsia="cs-CZ"/>
          </w:rPr>
          <w:t>https://aq3monitoring.com</w:t>
        </w:r>
      </w:hyperlink>
    </w:p>
    <w:p w:rsidR="00287B1D" w:rsidRDefault="00287B1D">
      <w:pPr>
        <w:spacing w:after="0"/>
        <w:ind w:left="-567" w:right="284"/>
        <w:jc w:val="both"/>
        <w:rPr>
          <w:rStyle w:val="Internetovodkaz"/>
          <w:b/>
          <w:sz w:val="14"/>
          <w:szCs w:val="14"/>
        </w:rPr>
      </w:pPr>
    </w:p>
    <w:p w:rsidR="00287B1D" w:rsidRDefault="00BB6CB9">
      <w:pPr>
        <w:spacing w:after="0"/>
        <w:ind w:left="-567" w:right="284"/>
        <w:jc w:val="both"/>
      </w:pPr>
      <w:r>
        <w:rPr>
          <w:noProof/>
          <w:lang w:eastAsia="cs-CZ"/>
        </w:rPr>
        <w:drawing>
          <wp:inline distT="0" distB="0" distL="0" distR="0">
            <wp:extent cx="6619875" cy="1148715"/>
            <wp:effectExtent l="0" t="0" r="0" b="0"/>
            <wp:docPr id="47" name="Obrázek 71" descr="C:\Users\VTI\AppData\Local\Microsoft\Windows\INetCache\Content.Outlook\FIXDNP43\Servisní Dezinfekční Mod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 71" descr="C:\Users\VTI\AppData\Local\Microsoft\Windows\INetCache\Content.Outlook\FIXDNP43\Servisní Dezinfekční Modul.jpg"/>
                    <pic:cNvPicPr>
                      <a:picLocks noChangeAspect="1" noChangeArrowheads="1"/>
                    </pic:cNvPicPr>
                  </pic:nvPicPr>
                  <pic:blipFill>
                    <a:blip r:embed="rId92"/>
                    <a:stretch>
                      <a:fillRect/>
                    </a:stretch>
                  </pic:blipFill>
                  <pic:spPr bwMode="auto">
                    <a:xfrm>
                      <a:off x="0" y="0"/>
                      <a:ext cx="6619875" cy="1148715"/>
                    </a:xfrm>
                    <a:prstGeom prst="rect">
                      <a:avLst/>
                    </a:prstGeom>
                  </pic:spPr>
                </pic:pic>
              </a:graphicData>
            </a:graphic>
          </wp:inline>
        </w:drawing>
      </w:r>
    </w:p>
    <w:p w:rsidR="00287B1D" w:rsidRDefault="00287B1D">
      <w:pPr>
        <w:spacing w:after="0"/>
        <w:ind w:left="-567" w:right="284"/>
        <w:jc w:val="both"/>
        <w:rPr>
          <w:sz w:val="16"/>
          <w:szCs w:val="16"/>
        </w:rPr>
      </w:pPr>
    </w:p>
    <w:p w:rsidR="00BB7A9C" w:rsidRDefault="00BB7A9C">
      <w:pPr>
        <w:spacing w:after="0"/>
        <w:ind w:left="-567" w:right="284"/>
        <w:jc w:val="both"/>
        <w:rPr>
          <w:sz w:val="16"/>
          <w:szCs w:val="16"/>
        </w:rPr>
      </w:pPr>
    </w:p>
    <w:p w:rsidR="00287B1D" w:rsidRDefault="00BB6CB9">
      <w:pPr>
        <w:pBdr>
          <w:top w:val="single" w:sz="4" w:space="1" w:color="000000"/>
          <w:left w:val="single" w:sz="4" w:space="4" w:color="000000"/>
          <w:bottom w:val="single" w:sz="4" w:space="1" w:color="000000"/>
          <w:right w:val="single" w:sz="4" w:space="4" w:color="000000"/>
        </w:pBdr>
        <w:spacing w:after="0"/>
        <w:ind w:left="-567" w:right="284"/>
        <w:jc w:val="both"/>
        <w:rPr>
          <w:strike/>
          <w:sz w:val="14"/>
          <w:szCs w:val="14"/>
        </w:rPr>
      </w:pPr>
      <w:r>
        <w:rPr>
          <w:sz w:val="14"/>
          <w:szCs w:val="14"/>
        </w:rPr>
        <w:t xml:space="preserve">            </w:t>
      </w:r>
      <w:proofErr w:type="gramStart"/>
      <w:r>
        <w:rPr>
          <w:sz w:val="14"/>
          <w:szCs w:val="14"/>
        </w:rPr>
        <w:t>Obr.32</w:t>
      </w:r>
      <w:proofErr w:type="gramEnd"/>
      <w:r>
        <w:rPr>
          <w:sz w:val="14"/>
          <w:szCs w:val="14"/>
        </w:rPr>
        <w:t xml:space="preserve"> Servisní desinfekční modul </w:t>
      </w:r>
      <w:r>
        <w:rPr>
          <w:rFonts w:eastAsia="Times New Roman" w:cs="Calibri"/>
          <w:color w:val="000000"/>
          <w:sz w:val="14"/>
          <w:szCs w:val="14"/>
          <w:lang w:eastAsia="cs-CZ"/>
        </w:rPr>
        <w:t>SDM-10" x 2"</w:t>
      </w:r>
      <w:r>
        <w:rPr>
          <w:sz w:val="14"/>
          <w:szCs w:val="14"/>
        </w:rPr>
        <w:t xml:space="preserve">, pro sterilizaci gumového vaku tlakové plastové nádrže 12 l, obj. č. </w:t>
      </w:r>
      <w:r>
        <w:rPr>
          <w:rFonts w:eastAsia="Times New Roman" w:cs="Calibri"/>
          <w:b/>
          <w:bCs/>
          <w:sz w:val="14"/>
          <w:szCs w:val="14"/>
          <w:lang w:eastAsia="en-GB"/>
        </w:rPr>
        <w:t>SP95-27-006</w:t>
      </w:r>
    </w:p>
    <w:p w:rsidR="00287B1D" w:rsidRDefault="00287B1D">
      <w:pPr>
        <w:spacing w:after="0"/>
        <w:ind w:left="-567" w:right="284"/>
        <w:jc w:val="both"/>
        <w:rPr>
          <w:sz w:val="14"/>
          <w:szCs w:val="14"/>
        </w:rPr>
      </w:pPr>
    </w:p>
    <w:p w:rsidR="00287B1D" w:rsidRDefault="00287B1D">
      <w:pPr>
        <w:spacing w:after="0"/>
        <w:ind w:left="-567" w:right="284"/>
        <w:jc w:val="both"/>
        <w:rPr>
          <w:sz w:val="14"/>
          <w:szCs w:val="14"/>
        </w:rPr>
      </w:pPr>
    </w:p>
    <w:p w:rsidR="00287B1D" w:rsidRDefault="00BB6CB9">
      <w:pPr>
        <w:ind w:left="-567" w:right="284"/>
        <w:jc w:val="center"/>
        <w:rPr>
          <w:b/>
          <w:i/>
          <w:color w:val="FF0000"/>
          <w:u w:val="single"/>
        </w:rPr>
      </w:pPr>
      <w:r>
        <w:rPr>
          <w:b/>
          <w:i/>
          <w:color w:val="FF0000"/>
          <w:u w:val="single"/>
        </w:rPr>
        <w:t xml:space="preserve">ad 17) Popis postupu </w:t>
      </w:r>
      <w:proofErr w:type="gramStart"/>
      <w:r>
        <w:rPr>
          <w:b/>
          <w:i/>
          <w:color w:val="FF0000"/>
          <w:u w:val="single"/>
        </w:rPr>
        <w:t>desinfekce  u suché</w:t>
      </w:r>
      <w:proofErr w:type="gramEnd"/>
      <w:r>
        <w:rPr>
          <w:b/>
          <w:i/>
          <w:color w:val="FF0000"/>
          <w:u w:val="single"/>
        </w:rPr>
        <w:t xml:space="preserve"> a mokré technologie a pozn.</w:t>
      </w:r>
    </w:p>
    <w:p w:rsidR="00287B1D" w:rsidRDefault="00287B1D">
      <w:pPr>
        <w:spacing w:after="0"/>
        <w:ind w:left="-567" w:right="284"/>
        <w:jc w:val="both"/>
        <w:rPr>
          <w:sz w:val="14"/>
          <w:szCs w:val="14"/>
        </w:rPr>
      </w:pPr>
    </w:p>
    <w:p w:rsidR="00287B1D" w:rsidRDefault="00BB6CB9">
      <w:pPr>
        <w:pStyle w:val="Odstavecseseznamem"/>
        <w:numPr>
          <w:ilvl w:val="0"/>
          <w:numId w:val="4"/>
        </w:numPr>
        <w:tabs>
          <w:tab w:val="clear" w:pos="720"/>
        </w:tabs>
        <w:spacing w:after="0"/>
        <w:ind w:left="-567" w:right="284" w:hanging="284"/>
        <w:jc w:val="both"/>
      </w:pPr>
      <w:r>
        <w:rPr>
          <w:noProof/>
          <w:lang w:eastAsia="cs-CZ"/>
        </w:rPr>
        <w:drawing>
          <wp:anchor distT="0" distB="0" distL="0" distR="0" simplePos="0" relativeHeight="53" behindDoc="1" locked="0" layoutInCell="1" allowOverlap="1">
            <wp:simplePos x="0" y="0"/>
            <wp:positionH relativeFrom="column">
              <wp:posOffset>5596255</wp:posOffset>
            </wp:positionH>
            <wp:positionV relativeFrom="paragraph">
              <wp:posOffset>802005</wp:posOffset>
            </wp:positionV>
            <wp:extent cx="575945" cy="495300"/>
            <wp:effectExtent l="0" t="0" r="0" b="0"/>
            <wp:wrapNone/>
            <wp:docPr id="48" name="Obrázek 77" descr="Plug | John G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77" descr="Plug | John Guest"/>
                    <pic:cNvPicPr>
                      <a:picLocks noChangeAspect="1" noChangeArrowheads="1"/>
                    </pic:cNvPicPr>
                  </pic:nvPicPr>
                  <pic:blipFill>
                    <a:blip r:embed="rId93"/>
                    <a:stretch>
                      <a:fillRect/>
                    </a:stretch>
                  </pic:blipFill>
                  <pic:spPr bwMode="auto">
                    <a:xfrm>
                      <a:off x="0" y="0"/>
                      <a:ext cx="575945" cy="495300"/>
                    </a:xfrm>
                    <a:prstGeom prst="rect">
                      <a:avLst/>
                    </a:prstGeom>
                  </pic:spPr>
                </pic:pic>
              </a:graphicData>
            </a:graphic>
          </wp:anchor>
        </w:drawing>
      </w:r>
      <w:r>
        <w:rPr>
          <w:color w:val="FF0000"/>
          <w:u w:val="single"/>
        </w:rPr>
        <w:t>Suchá technologie</w:t>
      </w:r>
      <w:r>
        <w:rPr>
          <w:color w:val="FF0000"/>
        </w:rPr>
        <w:t xml:space="preserve">  </w:t>
      </w:r>
      <w:r>
        <w:t xml:space="preserve">-  Technologie, (určená pro </w:t>
      </w:r>
      <w:r>
        <w:rPr>
          <w:u w:val="single"/>
        </w:rPr>
        <w:t>delší skladování</w:t>
      </w:r>
      <w:r>
        <w:t xml:space="preserve">, leteckou přepravu nebo lodní přepravu, kde hrozí dlouhodobě nižší nebo vyšší teploty, nárůst bakteriální kontaminace), se dodává v suchém stavu, v základu je ošetřená horkou parou a následně desinfikovaná aerosolem </w:t>
      </w:r>
      <w:r>
        <w:rPr>
          <w:b/>
        </w:rPr>
        <w:t>Ag N10</w:t>
      </w:r>
      <w:r>
        <w:t xml:space="preserve">. Technologie se při kompletaci, před zabalením do přepravního a prodejního obalu zkouší na těsnost pomocí stlačeného vzduchu. Připojovací body jsou po kompletaci zaslepeny desinfikovanými kolíčky ¼“. </w:t>
      </w:r>
    </w:p>
    <w:p w:rsidR="00287B1D" w:rsidRDefault="00287B1D">
      <w:pPr>
        <w:pStyle w:val="Odstavecseseznamem"/>
        <w:spacing w:after="0"/>
        <w:ind w:left="-567" w:right="284"/>
        <w:jc w:val="both"/>
      </w:pPr>
    </w:p>
    <w:p w:rsidR="00287B1D" w:rsidRDefault="00BB6CB9">
      <w:pPr>
        <w:pStyle w:val="Odstavecseseznamem"/>
        <w:numPr>
          <w:ilvl w:val="0"/>
          <w:numId w:val="4"/>
        </w:numPr>
        <w:tabs>
          <w:tab w:val="clear" w:pos="720"/>
        </w:tabs>
        <w:spacing w:after="0"/>
        <w:ind w:left="-567" w:right="284" w:hanging="284"/>
        <w:jc w:val="both"/>
        <w:rPr>
          <w:rStyle w:val="Internetovodkaz"/>
          <w:color w:val="auto"/>
          <w:u w:val="none"/>
        </w:rPr>
      </w:pPr>
      <w:r>
        <w:t xml:space="preserve">Technologii je nutné před každým připojením (na vstup či výstup) nebo po výměně </w:t>
      </w:r>
      <w:proofErr w:type="gramStart"/>
      <w:r>
        <w:t>náplní  desinfikovat</w:t>
      </w:r>
      <w:proofErr w:type="gramEnd"/>
      <w:r>
        <w:t xml:space="preserve"> a následně tuto řádně propláchnout dle manuálu, který je k dispozici </w:t>
      </w:r>
      <w:r>
        <w:rPr>
          <w:rFonts w:cstheme="minorHAnsi"/>
          <w:shd w:val="clear" w:color="auto" w:fill="FFFFFF"/>
        </w:rPr>
        <w:t>k nahlédnutí nebo ke stažení</w:t>
      </w:r>
      <w:r>
        <w:t xml:space="preserve"> na </w:t>
      </w:r>
      <w:hyperlink r:id="rId94">
        <w:r>
          <w:rPr>
            <w:rStyle w:val="Internetovodkaz"/>
            <w:rFonts w:cstheme="minorHAnsi"/>
            <w:highlight w:val="white"/>
          </w:rPr>
          <w:t>http://www.vti-cz.com/ke-stazeni/ke-stazeni-8</w:t>
        </w:r>
      </w:hyperlink>
      <w:r w:rsidR="00AB7D93">
        <w:rPr>
          <w:rStyle w:val="Internetovodkaz"/>
          <w:rFonts w:cstheme="minorHAnsi"/>
        </w:rPr>
        <w:t xml:space="preserve"> </w:t>
      </w:r>
    </w:p>
    <w:p w:rsidR="00287B1D" w:rsidRDefault="00287B1D">
      <w:pPr>
        <w:pStyle w:val="Odstavecseseznamem"/>
        <w:rPr>
          <w:rStyle w:val="Internetovodkaz"/>
          <w:color w:val="auto"/>
          <w:u w:val="none"/>
        </w:rPr>
      </w:pPr>
    </w:p>
    <w:p w:rsidR="00287B1D" w:rsidRDefault="00BB6CB9">
      <w:pPr>
        <w:pStyle w:val="Odstavecseseznamem"/>
        <w:numPr>
          <w:ilvl w:val="0"/>
          <w:numId w:val="4"/>
        </w:numPr>
        <w:tabs>
          <w:tab w:val="clear" w:pos="720"/>
        </w:tabs>
        <w:spacing w:after="0"/>
        <w:ind w:left="-567" w:right="284" w:hanging="284"/>
        <w:jc w:val="both"/>
      </w:pPr>
      <w:r>
        <w:rPr>
          <w:noProof/>
          <w:lang w:eastAsia="cs-CZ"/>
        </w:rPr>
        <w:drawing>
          <wp:anchor distT="0" distB="0" distL="0" distR="0" simplePos="0" relativeHeight="52" behindDoc="1" locked="0" layoutInCell="1" allowOverlap="1">
            <wp:simplePos x="0" y="0"/>
            <wp:positionH relativeFrom="column">
              <wp:posOffset>4942205</wp:posOffset>
            </wp:positionH>
            <wp:positionV relativeFrom="paragraph">
              <wp:posOffset>401320</wp:posOffset>
            </wp:positionV>
            <wp:extent cx="569595" cy="490855"/>
            <wp:effectExtent l="0" t="0" r="0" b="0"/>
            <wp:wrapNone/>
            <wp:docPr id="49" name="Obrázek 76" descr="Plug | John G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76" descr="Plug | John Guest"/>
                    <pic:cNvPicPr>
                      <a:picLocks noChangeAspect="1" noChangeArrowheads="1"/>
                    </pic:cNvPicPr>
                  </pic:nvPicPr>
                  <pic:blipFill>
                    <a:blip r:embed="rId95"/>
                    <a:stretch>
                      <a:fillRect/>
                    </a:stretch>
                  </pic:blipFill>
                  <pic:spPr bwMode="auto">
                    <a:xfrm>
                      <a:off x="0" y="0"/>
                      <a:ext cx="569595" cy="490855"/>
                    </a:xfrm>
                    <a:prstGeom prst="rect">
                      <a:avLst/>
                    </a:prstGeom>
                  </pic:spPr>
                </pic:pic>
              </a:graphicData>
            </a:graphic>
          </wp:anchor>
        </w:drawing>
      </w:r>
      <w:r>
        <w:rPr>
          <w:color w:val="FF0000"/>
          <w:u w:val="single"/>
        </w:rPr>
        <w:t>Mokrá technologie</w:t>
      </w:r>
      <w:r>
        <w:rPr>
          <w:color w:val="FF0000"/>
        </w:rPr>
        <w:t xml:space="preserve"> </w:t>
      </w:r>
      <w:r>
        <w:t>– Technologie, určená k </w:t>
      </w:r>
      <w:r>
        <w:rPr>
          <w:u w:val="single"/>
        </w:rPr>
        <w:t>okamžitému</w:t>
      </w:r>
      <w:r>
        <w:t xml:space="preserve"> zapojení do </w:t>
      </w:r>
      <w:r>
        <w:rPr>
          <w:b/>
        </w:rPr>
        <w:t>VVŘ</w:t>
      </w:r>
      <w:r>
        <w:t xml:space="preserve">. Technologie je zavodněná, tlakově odzkoušená a následně vypuštěná (odkapané výměnné díly), v základu je ošetřená horkou parou a následně desinfikovaná aerosolem </w:t>
      </w:r>
      <w:r>
        <w:rPr>
          <w:b/>
        </w:rPr>
        <w:t>Ag  N10</w:t>
      </w:r>
      <w:r>
        <w:t xml:space="preserve">. Připojovací body jsou po kompletaci zaslepeny desinfikovanými kolíčky ¼“. </w:t>
      </w:r>
    </w:p>
    <w:p w:rsidR="00287B1D" w:rsidRDefault="00287B1D">
      <w:pPr>
        <w:pStyle w:val="Odstavecseseznamem"/>
        <w:spacing w:after="0"/>
        <w:ind w:left="-567" w:right="284"/>
        <w:jc w:val="both"/>
        <w:rPr>
          <w:rFonts w:cstheme="minorHAnsi"/>
          <w:color w:val="0000FF" w:themeColor="hyperlink"/>
          <w:highlight w:val="white"/>
          <w:u w:val="single"/>
        </w:rPr>
      </w:pPr>
    </w:p>
    <w:p w:rsidR="00287B1D" w:rsidRDefault="00BB6CB9">
      <w:pPr>
        <w:pStyle w:val="Odstavecseseznamem"/>
        <w:numPr>
          <w:ilvl w:val="0"/>
          <w:numId w:val="5"/>
        </w:numPr>
        <w:tabs>
          <w:tab w:val="clear" w:pos="720"/>
        </w:tabs>
        <w:spacing w:after="0"/>
        <w:ind w:left="-567" w:right="284" w:hanging="284"/>
        <w:jc w:val="both"/>
        <w:rPr>
          <w:rStyle w:val="Internetovodkaz"/>
          <w:rFonts w:cstheme="minorHAnsi"/>
          <w:highlight w:val="white"/>
        </w:rPr>
      </w:pPr>
      <w:r>
        <w:lastRenderedPageBreak/>
        <w:t xml:space="preserve">Po odpojení, převozu a následném zapojení na místě odběru, je nutné před každým připojením (na vstup či </w:t>
      </w:r>
      <w:proofErr w:type="gramStart"/>
      <w:r>
        <w:t>výstup)  nebo</w:t>
      </w:r>
      <w:proofErr w:type="gramEnd"/>
      <w:r>
        <w:t xml:space="preserve"> po výměně náplní  desinfikovat (desinfekčním roztokem Peroxidu vodíku </w:t>
      </w:r>
      <w:r>
        <w:rPr>
          <w:rFonts w:ascii="Arial" w:hAnsi="Arial" w:cs="Arial"/>
          <w:color w:val="202124"/>
          <w:sz w:val="21"/>
          <w:szCs w:val="21"/>
          <w:shd w:val="clear" w:color="auto" w:fill="FFFFFF"/>
        </w:rPr>
        <w:t>H</w:t>
      </w:r>
      <w:r>
        <w:rPr>
          <w:rFonts w:ascii="Arial" w:hAnsi="Arial" w:cs="Arial"/>
          <w:color w:val="202124"/>
          <w:shd w:val="clear" w:color="auto" w:fill="FFFFFF"/>
          <w:vertAlign w:val="subscript"/>
        </w:rPr>
        <w:t>2</w:t>
      </w:r>
      <w:r>
        <w:rPr>
          <w:rFonts w:ascii="Arial" w:hAnsi="Arial" w:cs="Arial"/>
          <w:color w:val="202124"/>
          <w:sz w:val="21"/>
          <w:szCs w:val="21"/>
          <w:shd w:val="clear" w:color="auto" w:fill="FFFFFF"/>
        </w:rPr>
        <w:t>O</w:t>
      </w:r>
      <w:r>
        <w:rPr>
          <w:rFonts w:ascii="Arial" w:hAnsi="Arial" w:cs="Arial"/>
          <w:color w:val="202124"/>
          <w:shd w:val="clear" w:color="auto" w:fill="FFFFFF"/>
          <w:vertAlign w:val="subscript"/>
        </w:rPr>
        <w:t xml:space="preserve">2  </w:t>
      </w:r>
      <w:r>
        <w:rPr>
          <w:b/>
        </w:rPr>
        <w:t>3</w:t>
      </w:r>
      <w:r>
        <w:t>%, alternativně Kyseliny citronové C</w:t>
      </w:r>
      <w:r>
        <w:rPr>
          <w:vertAlign w:val="subscript"/>
        </w:rPr>
        <w:t>6</w:t>
      </w:r>
      <w:r>
        <w:t>H</w:t>
      </w:r>
      <w:r>
        <w:rPr>
          <w:vertAlign w:val="subscript"/>
        </w:rPr>
        <w:t>8</w:t>
      </w:r>
      <w:r>
        <w:t>O</w:t>
      </w:r>
      <w:r>
        <w:rPr>
          <w:vertAlign w:val="subscript"/>
        </w:rPr>
        <w:t>7</w:t>
      </w:r>
      <w:r>
        <w:t xml:space="preserve"> – monohydrát </w:t>
      </w:r>
      <w:r>
        <w:rPr>
          <w:b/>
        </w:rPr>
        <w:t>99</w:t>
      </w:r>
      <w:r>
        <w:t>%, v </w:t>
      </w:r>
      <w:r>
        <w:rPr>
          <w:b/>
        </w:rPr>
        <w:t>5</w:t>
      </w:r>
      <w:r>
        <w:t xml:space="preserve">% koncentraci) a následně technologii  řádně propláchnout dle manuálu, který je k dispozici </w:t>
      </w:r>
      <w:r>
        <w:rPr>
          <w:rFonts w:cstheme="minorHAnsi"/>
          <w:shd w:val="clear" w:color="auto" w:fill="FFFFFF"/>
        </w:rPr>
        <w:t>k nahlédnutí nebo ke stažení</w:t>
      </w:r>
      <w:r>
        <w:t xml:space="preserve"> na </w:t>
      </w:r>
      <w:hyperlink r:id="rId96">
        <w:r>
          <w:rPr>
            <w:rStyle w:val="Internetovodkaz"/>
            <w:rFonts w:cstheme="minorHAnsi"/>
            <w:highlight w:val="white"/>
          </w:rPr>
          <w:t>http://www.vti-cz.com/ke-stazeni/ke-stazeni-8</w:t>
        </w:r>
      </w:hyperlink>
    </w:p>
    <w:p w:rsidR="00287B1D" w:rsidRDefault="00287B1D">
      <w:pPr>
        <w:spacing w:after="0"/>
        <w:ind w:left="-567" w:right="284"/>
        <w:jc w:val="both"/>
      </w:pPr>
    </w:p>
    <w:p w:rsidR="00287B1D" w:rsidRDefault="00BB6CB9">
      <w:pPr>
        <w:pStyle w:val="Odstavecseseznamem"/>
        <w:numPr>
          <w:ilvl w:val="0"/>
          <w:numId w:val="1"/>
        </w:numPr>
        <w:tabs>
          <w:tab w:val="clear" w:pos="720"/>
          <w:tab w:val="left" w:pos="-142"/>
        </w:tabs>
        <w:spacing w:after="0"/>
        <w:ind w:left="-567" w:right="284" w:hanging="284"/>
        <w:jc w:val="both"/>
      </w:pPr>
      <w:r>
        <w:t xml:space="preserve">Pokud u modelů </w:t>
      </w:r>
      <w:r>
        <w:rPr>
          <w:b/>
        </w:rPr>
        <w:t xml:space="preserve">1 </w:t>
      </w:r>
      <w:r>
        <w:t>či</w:t>
      </w:r>
      <w:r>
        <w:rPr>
          <w:b/>
        </w:rPr>
        <w:t xml:space="preserve"> 2 </w:t>
      </w:r>
      <w:r>
        <w:t>(</w:t>
      </w:r>
      <w:r>
        <w:rPr>
          <w:b/>
          <w:color w:val="FF00FF"/>
        </w:rPr>
        <w:t>AQ3 Mini Basic</w:t>
      </w:r>
      <w:r>
        <w:t xml:space="preserve">) vodu nepoužíváte </w:t>
      </w:r>
      <w:r>
        <w:rPr>
          <w:b/>
        </w:rPr>
        <w:t>14</w:t>
      </w:r>
      <w:r>
        <w:t xml:space="preserve"> dnů a více, potom otevřete odběrový kohoutek (</w:t>
      </w:r>
      <w:r>
        <w:rPr>
          <w:i/>
          <w:color w:val="0070C0"/>
        </w:rPr>
        <w:t>doporučujeme po vypuštění odběrový kohoutek ještě ošetřit pomocí aerosolu - desinfekčním roztokem, viz výše</w:t>
      </w:r>
      <w:r>
        <w:t xml:space="preserve">) a kompletně vypusťte obsah technologie – cca 2 ~3 litry. Vyrobíte si tak zcela novou, čerstvou a </w:t>
      </w:r>
      <w:proofErr w:type="gramStart"/>
      <w:r>
        <w:t>sterilizovanou  vodu</w:t>
      </w:r>
      <w:proofErr w:type="gramEnd"/>
      <w:r>
        <w:t xml:space="preserve"> ke konzumaci. </w:t>
      </w:r>
    </w:p>
    <w:p w:rsidR="00287B1D" w:rsidRDefault="00287B1D">
      <w:pPr>
        <w:pStyle w:val="Odstavecseseznamem"/>
        <w:spacing w:after="0"/>
        <w:ind w:left="-567" w:right="284"/>
        <w:jc w:val="both"/>
      </w:pPr>
    </w:p>
    <w:p w:rsidR="00287B1D" w:rsidRDefault="00BB6CB9">
      <w:pPr>
        <w:pStyle w:val="Odstavecseseznamem"/>
        <w:numPr>
          <w:ilvl w:val="0"/>
          <w:numId w:val="1"/>
        </w:numPr>
        <w:tabs>
          <w:tab w:val="clear" w:pos="720"/>
          <w:tab w:val="left" w:pos="-142"/>
        </w:tabs>
        <w:spacing w:after="0"/>
        <w:ind w:left="-567" w:right="284" w:hanging="284"/>
        <w:jc w:val="both"/>
      </w:pPr>
      <w:r>
        <w:rPr>
          <w:u w:val="single"/>
        </w:rPr>
        <w:t>Poznámka:</w:t>
      </w:r>
    </w:p>
    <w:p w:rsidR="00287B1D" w:rsidRDefault="00BB6CB9">
      <w:pPr>
        <w:spacing w:after="0"/>
        <w:ind w:left="-567" w:right="284"/>
        <w:jc w:val="both"/>
        <w:rPr>
          <w:u w:val="single"/>
        </w:rPr>
      </w:pPr>
      <w:r>
        <w:rPr>
          <w:u w:val="single"/>
        </w:rPr>
        <w:t xml:space="preserve"> </w:t>
      </w:r>
    </w:p>
    <w:p w:rsidR="00287B1D" w:rsidRDefault="00BB6CB9">
      <w:pPr>
        <w:pStyle w:val="Odstavecseseznamem"/>
        <w:numPr>
          <w:ilvl w:val="0"/>
          <w:numId w:val="3"/>
        </w:numPr>
        <w:tabs>
          <w:tab w:val="clear" w:pos="720"/>
        </w:tabs>
        <w:ind w:left="-567" w:right="284" w:hanging="284"/>
        <w:jc w:val="both"/>
      </w:pPr>
      <w:r>
        <w:t xml:space="preserve">Při práci s *** používejte </w:t>
      </w:r>
      <w:r>
        <w:rPr>
          <w:u w:val="single"/>
        </w:rPr>
        <w:t>jednorázové ochranné latexové rukavice</w:t>
      </w:r>
      <w:r>
        <w:t>, desinfikované z vnější strany v příslušném roztoku</w:t>
      </w:r>
    </w:p>
    <w:p w:rsidR="00287B1D" w:rsidRDefault="00BB6CB9">
      <w:pPr>
        <w:pStyle w:val="Odstavecseseznamem"/>
        <w:numPr>
          <w:ilvl w:val="0"/>
          <w:numId w:val="3"/>
        </w:numPr>
        <w:tabs>
          <w:tab w:val="clear" w:pos="720"/>
        </w:tabs>
        <w:ind w:left="-567" w:right="284" w:hanging="284"/>
        <w:jc w:val="both"/>
        <w:rPr>
          <w:u w:val="single"/>
        </w:rPr>
      </w:pPr>
      <w:r>
        <w:t xml:space="preserve">Při práci s *** používejte </w:t>
      </w:r>
      <w:r>
        <w:rPr>
          <w:u w:val="single"/>
        </w:rPr>
        <w:t>ochranné pracovní brýle</w:t>
      </w:r>
    </w:p>
    <w:p w:rsidR="00287B1D" w:rsidRDefault="00BB6CB9">
      <w:pPr>
        <w:pStyle w:val="Odstavecseseznamem"/>
        <w:numPr>
          <w:ilvl w:val="0"/>
          <w:numId w:val="3"/>
        </w:numPr>
        <w:tabs>
          <w:tab w:val="clear" w:pos="720"/>
        </w:tabs>
        <w:ind w:left="-567" w:right="284" w:hanging="284"/>
        <w:jc w:val="both"/>
      </w:pPr>
      <w:r>
        <w:t xml:space="preserve">Při práci s *** </w:t>
      </w:r>
      <w:r>
        <w:rPr>
          <w:u w:val="single"/>
        </w:rPr>
        <w:t>používejte nucené, nebo přírodní větrání uzavřených prostor</w:t>
      </w:r>
    </w:p>
    <w:p w:rsidR="00287B1D" w:rsidRDefault="00BB6CB9">
      <w:pPr>
        <w:pStyle w:val="Odstavecseseznamem"/>
        <w:numPr>
          <w:ilvl w:val="0"/>
          <w:numId w:val="2"/>
        </w:numPr>
        <w:tabs>
          <w:tab w:val="clear" w:pos="720"/>
        </w:tabs>
        <w:ind w:left="-567" w:right="284" w:hanging="284"/>
        <w:jc w:val="both"/>
      </w:pPr>
      <w:r>
        <w:t xml:space="preserve">Denní teoretická kapacita filtrace se uvádí při vstupní teplotě vody </w:t>
      </w:r>
      <w:r>
        <w:rPr>
          <w:b/>
        </w:rPr>
        <w:t>25</w:t>
      </w:r>
      <w:r>
        <w:rPr>
          <w:b/>
          <w:vertAlign w:val="superscript"/>
        </w:rPr>
        <w:t>o</w:t>
      </w:r>
      <w:r>
        <w:rPr>
          <w:b/>
        </w:rPr>
        <w:t xml:space="preserve"> </w:t>
      </w:r>
      <w:r>
        <w:t xml:space="preserve">C, vstupní vodě ~ </w:t>
      </w:r>
      <w:r>
        <w:rPr>
          <w:b/>
        </w:rPr>
        <w:t xml:space="preserve">475 </w:t>
      </w:r>
      <w:r>
        <w:t xml:space="preserve">PPM = ~ </w:t>
      </w:r>
      <w:r>
        <w:rPr>
          <w:b/>
        </w:rPr>
        <w:t>741</w:t>
      </w:r>
      <w:r>
        <w:t xml:space="preserve"> µS/cm, ~ </w:t>
      </w:r>
      <w:r>
        <w:rPr>
          <w:b/>
        </w:rPr>
        <w:t>7.3</w:t>
      </w:r>
      <w:r>
        <w:t xml:space="preserve"> pH a ≤ </w:t>
      </w:r>
      <w:r>
        <w:rPr>
          <w:b/>
        </w:rPr>
        <w:t>5</w:t>
      </w:r>
      <w:r>
        <w:t xml:space="preserve"> NTU. Pokud je vstupní teplota </w:t>
      </w:r>
      <w:r>
        <w:rPr>
          <w:color w:val="FF0000"/>
        </w:rPr>
        <w:t>vyšší</w:t>
      </w:r>
      <w:r>
        <w:t xml:space="preserve"> nebo </w:t>
      </w:r>
      <w:r>
        <w:rPr>
          <w:color w:val="1C13CB"/>
        </w:rPr>
        <w:t>nižší</w:t>
      </w:r>
      <w:r>
        <w:t xml:space="preserve">, je potřeba tuto denní kapacitu přepočítat dle přiložené korekční tabulky. </w:t>
      </w:r>
    </w:p>
    <w:p w:rsidR="00287B1D" w:rsidRDefault="00BB6CB9">
      <w:pPr>
        <w:spacing w:after="0"/>
        <w:ind w:left="-567" w:right="284"/>
        <w:jc w:val="both"/>
      </w:pPr>
      <w:r>
        <w:rPr>
          <w:noProof/>
          <w:lang w:eastAsia="cs-CZ"/>
        </w:rPr>
        <w:drawing>
          <wp:inline distT="0" distB="0" distL="0" distR="0">
            <wp:extent cx="6721475" cy="713740"/>
            <wp:effectExtent l="0" t="0" r="0" b="0"/>
            <wp:docPr id="50"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2"/>
                    <pic:cNvPicPr>
                      <a:picLocks noChangeAspect="1" noChangeArrowheads="1"/>
                    </pic:cNvPicPr>
                  </pic:nvPicPr>
                  <pic:blipFill>
                    <a:blip r:embed="rId97"/>
                    <a:stretch>
                      <a:fillRect/>
                    </a:stretch>
                  </pic:blipFill>
                  <pic:spPr bwMode="auto">
                    <a:xfrm>
                      <a:off x="0" y="0"/>
                      <a:ext cx="6721475" cy="713740"/>
                    </a:xfrm>
                    <a:prstGeom prst="rect">
                      <a:avLst/>
                    </a:prstGeom>
                  </pic:spPr>
                </pic:pic>
              </a:graphicData>
            </a:graphic>
          </wp:inline>
        </w:drawing>
      </w:r>
    </w:p>
    <w:p w:rsidR="00287B1D" w:rsidRDefault="00287B1D">
      <w:pPr>
        <w:spacing w:after="0"/>
        <w:ind w:left="-567" w:right="284"/>
        <w:jc w:val="both"/>
      </w:pPr>
    </w:p>
    <w:p w:rsidR="00287B1D" w:rsidRDefault="00BB6CB9">
      <w:pPr>
        <w:spacing w:after="0"/>
        <w:ind w:left="141" w:right="284" w:firstLine="1275"/>
        <w:jc w:val="both"/>
        <w:rPr>
          <w:sz w:val="14"/>
          <w:szCs w:val="14"/>
        </w:rPr>
      </w:pPr>
      <w:proofErr w:type="gramStart"/>
      <w:r>
        <w:rPr>
          <w:sz w:val="14"/>
          <w:szCs w:val="14"/>
        </w:rPr>
        <w:t>Obr.33</w:t>
      </w:r>
      <w:proofErr w:type="gramEnd"/>
      <w:r>
        <w:rPr>
          <w:sz w:val="14"/>
          <w:szCs w:val="14"/>
        </w:rPr>
        <w:t xml:space="preserve">; </w:t>
      </w:r>
      <w:proofErr w:type="gramStart"/>
      <w:r>
        <w:rPr>
          <w:sz w:val="14"/>
          <w:szCs w:val="14"/>
        </w:rPr>
        <w:t>Tab.3</w:t>
      </w:r>
      <w:r>
        <w:rPr>
          <w:rFonts w:eastAsia="Times New Roman" w:cs="Times New Roman"/>
          <w:bCs/>
          <w:sz w:val="14"/>
          <w:szCs w:val="14"/>
          <w:lang w:eastAsia="cs-CZ"/>
        </w:rPr>
        <w:t xml:space="preserve"> </w:t>
      </w:r>
      <w:r>
        <w:rPr>
          <w:rFonts w:ascii="Arial" w:eastAsia="Times New Roman" w:hAnsi="Arial" w:cs="Arial"/>
          <w:bCs/>
          <w:sz w:val="14"/>
          <w:szCs w:val="14"/>
          <w:lang w:eastAsia="cs-CZ"/>
        </w:rPr>
        <w:t>↑</w:t>
      </w:r>
      <w:r>
        <w:rPr>
          <w:sz w:val="14"/>
          <w:szCs w:val="14"/>
        </w:rPr>
        <w:t xml:space="preserve"> Závislost</w:t>
      </w:r>
      <w:proofErr w:type="gramEnd"/>
      <w:r>
        <w:rPr>
          <w:sz w:val="14"/>
          <w:szCs w:val="14"/>
        </w:rPr>
        <w:t xml:space="preserve"> teploty, tlaku a průtoku na výkonu výroby vody v AQ3 Mini</w:t>
      </w:r>
    </w:p>
    <w:p w:rsidR="00287B1D" w:rsidRDefault="00287B1D">
      <w:pPr>
        <w:spacing w:after="0"/>
        <w:ind w:left="-567" w:right="284"/>
        <w:jc w:val="both"/>
      </w:pPr>
    </w:p>
    <w:p w:rsidR="00287B1D" w:rsidRDefault="00BB6CB9">
      <w:pPr>
        <w:spacing w:after="0"/>
        <w:ind w:left="-567" w:right="284"/>
        <w:jc w:val="both"/>
        <w:rPr>
          <w:u w:val="single"/>
        </w:rPr>
      </w:pPr>
      <w:r>
        <w:rPr>
          <w:u w:val="single"/>
        </w:rPr>
        <w:t>Poznámka:</w:t>
      </w:r>
    </w:p>
    <w:p w:rsidR="00287B1D" w:rsidRDefault="00287B1D">
      <w:pPr>
        <w:spacing w:after="0"/>
        <w:ind w:left="-567" w:right="284"/>
        <w:jc w:val="both"/>
        <w:rPr>
          <w:u w:val="single"/>
        </w:rPr>
      </w:pPr>
    </w:p>
    <w:p w:rsidR="00287B1D" w:rsidRDefault="00BB6CB9">
      <w:pPr>
        <w:spacing w:after="0"/>
        <w:ind w:right="284" w:hanging="851"/>
        <w:jc w:val="both"/>
      </w:pPr>
      <w:r>
        <w:rPr>
          <w:noProof/>
          <w:lang w:eastAsia="cs-CZ"/>
        </w:rPr>
        <w:drawing>
          <wp:inline distT="0" distB="0" distL="0" distR="0">
            <wp:extent cx="198120" cy="158750"/>
            <wp:effectExtent l="0" t="0" r="0" b="0"/>
            <wp:docPr id="51" name="Obrázek 30" descr="FotkyFoto_modry-vykricnik-varovani-dopravni-znacka_4348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 30" descr="FotkyFoto_modry-vykricnik-varovani-dopravni-znacka_4348772"/>
                    <pic:cNvPicPr>
                      <a:picLocks noChangeAspect="1" noChangeArrowheads="1"/>
                    </pic:cNvPicPr>
                  </pic:nvPicPr>
                  <pic:blipFill>
                    <a:blip r:embed="rId98"/>
                    <a:stretch>
                      <a:fillRect/>
                    </a:stretch>
                  </pic:blipFill>
                  <pic:spPr bwMode="auto">
                    <a:xfrm>
                      <a:off x="0" y="0"/>
                      <a:ext cx="198120" cy="158750"/>
                    </a:xfrm>
                    <a:prstGeom prst="rect">
                      <a:avLst/>
                    </a:prstGeom>
                  </pic:spPr>
                </pic:pic>
              </a:graphicData>
            </a:graphic>
          </wp:inline>
        </w:drawing>
      </w:r>
      <w:r>
        <w:t xml:space="preserve">          Kontrolní měření se provádí po desinfekci, na kalibrovaném spektrofotometru </w:t>
      </w:r>
      <w:r>
        <w:rPr>
          <w:b/>
        </w:rPr>
        <w:t>DR 1900</w:t>
      </w:r>
      <w:r>
        <w:t xml:space="preserve">, multimetru </w:t>
      </w:r>
      <w:r>
        <w:rPr>
          <w:b/>
        </w:rPr>
        <w:t>HQ 40D</w:t>
      </w:r>
      <w:r>
        <w:t xml:space="preserve"> a turbidimetru   </w:t>
      </w:r>
      <w:r>
        <w:rPr>
          <w:b/>
        </w:rPr>
        <w:t>2100Q</w:t>
      </w:r>
      <w:r>
        <w:t xml:space="preserve"> Hach Lange. Viz </w:t>
      </w:r>
      <w:proofErr w:type="gramStart"/>
      <w:r>
        <w:t>obr.22</w:t>
      </w:r>
      <w:proofErr w:type="gramEnd"/>
      <w:r>
        <w:t xml:space="preserve"> v tematických přílohách </w:t>
      </w:r>
      <w:r>
        <w:rPr>
          <w:color w:val="FF0000"/>
        </w:rPr>
        <w:t>ad19</w:t>
      </w:r>
      <w:r>
        <w:t>).</w:t>
      </w:r>
    </w:p>
    <w:p w:rsidR="00287B1D" w:rsidRDefault="00287B1D">
      <w:pPr>
        <w:spacing w:after="0"/>
        <w:ind w:right="284" w:hanging="851"/>
        <w:jc w:val="both"/>
      </w:pPr>
    </w:p>
    <w:p w:rsidR="00287B1D" w:rsidRDefault="00287B1D">
      <w:pPr>
        <w:spacing w:after="0"/>
        <w:ind w:right="284" w:hanging="851"/>
        <w:jc w:val="both"/>
      </w:pPr>
    </w:p>
    <w:p w:rsidR="00287B1D" w:rsidRDefault="00BB6CB9">
      <w:pPr>
        <w:ind w:left="-851" w:right="284"/>
        <w:jc w:val="both"/>
      </w:pPr>
      <w:r>
        <w:rPr>
          <w:noProof/>
          <w:lang w:eastAsia="cs-CZ"/>
        </w:rPr>
        <w:drawing>
          <wp:inline distT="0" distB="0" distL="0" distR="0">
            <wp:extent cx="166370" cy="138430"/>
            <wp:effectExtent l="0" t="0" r="0" b="0"/>
            <wp:docPr id="52" name="Obrázek 9" descr="C:\Users\admin\AppData\Local\Microsoft\Windows\INetCache\Content.Outlook\CM2G4B07\červené vstražné znamení warning-sign-symbol-computer-icons-clip-art-png-favpng-nxB58Ttm1dHQi70j3XvRcyy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 9" descr="C:\Users\admin\AppData\Local\Microsoft\Windows\INetCache\Content.Outlook\CM2G4B07\červené vstražné znamení warning-sign-symbol-computer-icons-clip-art-png-favpng-nxB58Ttm1dHQi70j3XvRcyyDa.jpg"/>
                    <pic:cNvPicPr>
                      <a:picLocks noChangeAspect="1" noChangeArrowheads="1"/>
                    </pic:cNvPicPr>
                  </pic:nvPicPr>
                  <pic:blipFill>
                    <a:blip r:embed="rId99"/>
                    <a:stretch>
                      <a:fillRect/>
                    </a:stretch>
                  </pic:blipFill>
                  <pic:spPr bwMode="auto">
                    <a:xfrm>
                      <a:off x="0" y="0"/>
                      <a:ext cx="166370" cy="138430"/>
                    </a:xfrm>
                    <a:prstGeom prst="rect">
                      <a:avLst/>
                    </a:prstGeom>
                  </pic:spPr>
                </pic:pic>
              </a:graphicData>
            </a:graphic>
          </wp:inline>
        </w:drawing>
      </w:r>
      <w:r>
        <w:rPr>
          <w:b/>
          <w:bCs/>
          <w:color w:val="FF0000"/>
        </w:rPr>
        <w:t xml:space="preserve"> Varování</w:t>
      </w:r>
    </w:p>
    <w:p w:rsidR="00287B1D" w:rsidRDefault="00BB6CB9">
      <w:pPr>
        <w:ind w:right="284" w:firstLine="708"/>
        <w:rPr>
          <w:bCs/>
        </w:rPr>
      </w:pPr>
      <w:r>
        <w:rPr>
          <w:bCs/>
        </w:rPr>
        <w:t>Varování označuje potencionálně nebezpečnou situaci, která, pokud se jí nezabrání, bude mít za následek smrt nebo vážné následky</w:t>
      </w:r>
    </w:p>
    <w:p w:rsidR="00287B1D" w:rsidRDefault="00BB6CB9">
      <w:pPr>
        <w:ind w:hanging="851"/>
      </w:pPr>
      <w:r>
        <w:rPr>
          <w:noProof/>
          <w:lang w:eastAsia="cs-CZ"/>
        </w:rPr>
        <w:drawing>
          <wp:inline distT="0" distB="0" distL="0" distR="0">
            <wp:extent cx="168910" cy="140335"/>
            <wp:effectExtent l="0" t="0" r="0" b="0"/>
            <wp:docPr id="53" name="Obrázek 7" descr="C:\Users\admin\AppData\Local\Microsoft\Windows\INetCache\Content.Outlook\CM2G4B07\oranžové výstražné znamení warning-sign-symbol-computer-icons-clip-art-png-favpng-nxB58Ttm1dHQi70j3XvRcyy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ek 7" descr="C:\Users\admin\AppData\Local\Microsoft\Windows\INetCache\Content.Outlook\CM2G4B07\oranžové výstražné znamení warning-sign-symbol-computer-icons-clip-art-png-favpng-nxB58Ttm1dHQi70j3XvRcyyDa.jpg"/>
                    <pic:cNvPicPr>
                      <a:picLocks noChangeAspect="1" noChangeArrowheads="1"/>
                    </pic:cNvPicPr>
                  </pic:nvPicPr>
                  <pic:blipFill>
                    <a:blip r:embed="rId82"/>
                    <a:stretch>
                      <a:fillRect/>
                    </a:stretch>
                  </pic:blipFill>
                  <pic:spPr bwMode="auto">
                    <a:xfrm flipH="1">
                      <a:off x="0" y="0"/>
                      <a:ext cx="168910" cy="140335"/>
                    </a:xfrm>
                    <a:prstGeom prst="rect">
                      <a:avLst/>
                    </a:prstGeom>
                  </pic:spPr>
                </pic:pic>
              </a:graphicData>
            </a:graphic>
          </wp:inline>
        </w:drawing>
      </w:r>
      <w:r>
        <w:rPr>
          <w:b/>
          <w:bCs/>
          <w:color w:val="FFC000"/>
          <w:sz w:val="16"/>
          <w:szCs w:val="16"/>
        </w:rPr>
        <w:t xml:space="preserve">  </w:t>
      </w:r>
      <w:r>
        <w:rPr>
          <w:b/>
          <w:bCs/>
          <w:color w:val="FFC000"/>
        </w:rPr>
        <w:t>Upozornění</w:t>
      </w:r>
    </w:p>
    <w:p w:rsidR="00287B1D" w:rsidRDefault="00BB6CB9">
      <w:pPr>
        <w:ind w:right="284" w:firstLine="708"/>
        <w:rPr>
          <w:bCs/>
        </w:rPr>
      </w:pPr>
      <w:r>
        <w:rPr>
          <w:bCs/>
        </w:rPr>
        <w:lastRenderedPageBreak/>
        <w:t>Upozornění použité se symbolem výstrahy označuje potencionálně nebezpečnou situaci, která, pokud se jí nezabrání, bude mít za následek lehké nebo středně těžké následky</w:t>
      </w:r>
    </w:p>
    <w:p w:rsidR="00287B1D" w:rsidRDefault="00BB6CB9">
      <w:pPr>
        <w:ind w:hanging="851"/>
        <w:rPr>
          <w:b/>
          <w:color w:val="548DD4" w:themeColor="text2" w:themeTint="99"/>
        </w:rPr>
      </w:pPr>
      <w:r>
        <w:rPr>
          <w:noProof/>
          <w:lang w:eastAsia="cs-CZ"/>
        </w:rPr>
        <mc:AlternateContent>
          <mc:Choice Requires="wps">
            <w:drawing>
              <wp:inline distT="0" distB="0" distL="0" distR="0">
                <wp:extent cx="187325" cy="140335"/>
                <wp:effectExtent l="0" t="0" r="0" b="0"/>
                <wp:docPr id="54" name="Obrázek 54"/>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00"/>
                        <a:stretch/>
                      </pic:blipFill>
                      <pic:spPr>
                        <a:xfrm>
                          <a:off x="0" y="0"/>
                          <a:ext cx="186840" cy="139680"/>
                        </a:xfrm>
                        <a:prstGeom prst="rect">
                          <a:avLst/>
                        </a:prstGeom>
                        <a:ln>
                          <a:noFill/>
                        </a:ln>
                      </pic:spPr>
                    </pic:pic>
                  </a:graphicData>
                </a:graphic>
              </wp:inline>
            </w:drawing>
          </mc:Choice>
          <mc:Fallback>
            <w:pict>
              <v:shape id="shape_0" stroked="f" style="position:absolute;margin-left:0pt;margin-top:-11.05pt;width:14.65pt;height:10.95pt;mso-position-vertical:top" type="shapetype_75">
                <v:imagedata r:id="rId101" o:detectmouseclick="t"/>
                <w10:wrap type="none"/>
                <v:stroke color="#3465a4" joinstyle="round" endcap="flat"/>
              </v:shape>
            </w:pict>
          </mc:Fallback>
        </mc:AlternateContent>
      </w:r>
      <w:r>
        <w:t xml:space="preserve"> </w:t>
      </w:r>
      <w:r>
        <w:rPr>
          <w:b/>
          <w:color w:val="548DD4" w:themeColor="text2" w:themeTint="99"/>
        </w:rPr>
        <w:t>Zvýšená pozornost</w:t>
      </w:r>
    </w:p>
    <w:p w:rsidR="00287B1D" w:rsidRDefault="00BB6CB9">
      <w:pPr>
        <w:pStyle w:val="Citt"/>
        <w:ind w:right="425" w:firstLine="708"/>
        <w:rPr>
          <w:i w:val="0"/>
        </w:rPr>
      </w:pPr>
      <w:r>
        <w:rPr>
          <w:i w:val="0"/>
        </w:rPr>
        <w:t>Zvýšená pozornost použitá se symbolem výstrahy označuje situaci, kdy bychom měli zvýšit ostražitost</w:t>
      </w:r>
    </w:p>
    <w:p w:rsidR="00287B1D" w:rsidRDefault="00BB6CB9" w:rsidP="00BB7A9C">
      <w:pPr>
        <w:ind w:right="284"/>
        <w:rPr>
          <w:b/>
          <w:i/>
          <w:color w:val="FF0000"/>
          <w:u w:val="single"/>
        </w:rPr>
      </w:pPr>
      <w:r>
        <w:rPr>
          <w:b/>
          <w:i/>
          <w:color w:val="FF0000"/>
          <w:u w:val="single"/>
        </w:rPr>
        <w:t xml:space="preserve">ad 18) Pozn., upoz., sdělení, ©, ochrana díla, autor. </w:t>
      </w:r>
      <w:proofErr w:type="gramStart"/>
      <w:r>
        <w:rPr>
          <w:b/>
          <w:i/>
          <w:color w:val="FF0000"/>
          <w:u w:val="single"/>
        </w:rPr>
        <w:t>právo</w:t>
      </w:r>
      <w:proofErr w:type="gramEnd"/>
      <w:r>
        <w:rPr>
          <w:b/>
          <w:i/>
          <w:color w:val="FF0000"/>
          <w:u w:val="single"/>
        </w:rPr>
        <w:t>, odkaz na VORP</w:t>
      </w:r>
    </w:p>
    <w:p w:rsidR="00287B1D" w:rsidRDefault="00BB6CB9">
      <w:pPr>
        <w:tabs>
          <w:tab w:val="left" w:pos="9356"/>
        </w:tabs>
        <w:ind w:left="-142" w:right="850"/>
        <w:jc w:val="both"/>
        <w:rPr>
          <w:lang w:eastAsia="cs-CZ"/>
        </w:rPr>
      </w:pPr>
      <w:r>
        <w:t xml:space="preserve">Pozn. Veškeré texty zde </w:t>
      </w:r>
      <w:proofErr w:type="gramStart"/>
      <w:r>
        <w:t>uveřejněné,  v prospektech</w:t>
      </w:r>
      <w:proofErr w:type="gramEnd"/>
      <w:r>
        <w:t xml:space="preserve"> či webových stránkách, nemusí být vždy aktualizované, průběžně se doplňují a </w:t>
      </w:r>
      <w:r>
        <w:rPr>
          <w:lang w:eastAsia="cs-CZ"/>
        </w:rPr>
        <w:t xml:space="preserve"> jsou dle nejlepšího vědomí údaji, které se stávají  závaznými po upřesnění (typicky po reakci na  Poptávkový list nebo Dotazník), až v </w:t>
      </w:r>
      <w:r>
        <w:rPr>
          <w:b/>
          <w:bCs/>
          <w:lang w:eastAsia="cs-CZ"/>
        </w:rPr>
        <w:t>potvrzených</w:t>
      </w:r>
      <w:r>
        <w:rPr>
          <w:lang w:eastAsia="cs-CZ"/>
        </w:rPr>
        <w:t xml:space="preserve"> objednávkách. </w:t>
      </w:r>
    </w:p>
    <w:p w:rsidR="00287B1D" w:rsidRDefault="00BB6CB9">
      <w:pPr>
        <w:tabs>
          <w:tab w:val="left" w:pos="9356"/>
        </w:tabs>
        <w:ind w:left="-142" w:right="850"/>
        <w:jc w:val="center"/>
        <w:rPr>
          <w:b/>
          <w:i/>
          <w:color w:val="FF0000"/>
          <w:u w:val="single"/>
          <w:lang w:eastAsia="cs-CZ"/>
        </w:rPr>
      </w:pPr>
      <w:r>
        <w:rPr>
          <w:b/>
          <w:i/>
          <w:color w:val="FF0000"/>
          <w:u w:val="single"/>
          <w:lang w:eastAsia="cs-CZ"/>
        </w:rPr>
        <w:t xml:space="preserve">Nelze je proto vyjmout nebo použít  bez dalšího kontextu,  jako obecně závazné </w:t>
      </w:r>
      <w:proofErr w:type="gramStart"/>
      <w:r>
        <w:rPr>
          <w:b/>
          <w:i/>
          <w:color w:val="FF0000"/>
          <w:u w:val="single"/>
          <w:lang w:eastAsia="cs-CZ"/>
        </w:rPr>
        <w:t>podklady !!!</w:t>
      </w:r>
      <w:proofErr w:type="gramEnd"/>
    </w:p>
    <w:p w:rsidR="00287B1D" w:rsidRDefault="00BB6CB9">
      <w:pPr>
        <w:pStyle w:val="Normlnweb"/>
        <w:tabs>
          <w:tab w:val="left" w:pos="9356"/>
        </w:tabs>
        <w:spacing w:beforeAutospacing="0" w:after="0" w:afterAutospacing="0"/>
        <w:ind w:left="-142" w:right="850"/>
        <w:jc w:val="both"/>
        <w:rPr>
          <w:rFonts w:ascii="Verdana" w:hAnsi="Verdana"/>
          <w:sz w:val="22"/>
          <w:szCs w:val="22"/>
        </w:rPr>
      </w:pPr>
      <w:r>
        <w:rPr>
          <w:rFonts w:ascii="Verdana" w:hAnsi="Verdana"/>
          <w:color w:val="7030A0"/>
          <w:sz w:val="22"/>
          <w:szCs w:val="22"/>
          <w:shd w:val="clear" w:color="auto" w:fill="FFFFFF"/>
        </w:rPr>
        <w:t>Pozn. Některé funkce nebo modely nemusí být v současné době  plně dostupné, některé jsou v </w:t>
      </w:r>
      <w:proofErr w:type="gramStart"/>
      <w:r>
        <w:rPr>
          <w:rFonts w:ascii="Verdana" w:hAnsi="Verdana"/>
          <w:color w:val="7030A0"/>
          <w:sz w:val="22"/>
          <w:szCs w:val="22"/>
          <w:shd w:val="clear" w:color="auto" w:fill="FFFFFF"/>
        </w:rPr>
        <w:t>beta</w:t>
      </w:r>
      <w:proofErr w:type="gramEnd"/>
      <w:r>
        <w:rPr>
          <w:rFonts w:ascii="Verdana" w:hAnsi="Verdana"/>
          <w:color w:val="7030A0"/>
          <w:sz w:val="22"/>
          <w:szCs w:val="22"/>
          <w:shd w:val="clear" w:color="auto" w:fill="FFFFFF"/>
        </w:rPr>
        <w:t xml:space="preserve"> testování, některé podléhají schvalovacímu procesu v dané zemi, kdy se  průběžně pracuje na jejich zprovoznění. Ovládací software se neustále vyvíjí. Nová verze může </w:t>
      </w:r>
      <w:r w:rsidR="00544F0A">
        <w:rPr>
          <w:rFonts w:ascii="Verdana" w:hAnsi="Verdana"/>
          <w:color w:val="7030A0"/>
          <w:sz w:val="22"/>
          <w:szCs w:val="22"/>
          <w:shd w:val="clear" w:color="auto" w:fill="FFFFFF"/>
        </w:rPr>
        <w:t>upravit či rozšířit</w:t>
      </w:r>
      <w:r>
        <w:rPr>
          <w:rFonts w:ascii="Verdana" w:hAnsi="Verdana"/>
          <w:color w:val="7030A0"/>
          <w:sz w:val="22"/>
          <w:szCs w:val="22"/>
          <w:shd w:val="clear" w:color="auto" w:fill="FFFFFF"/>
        </w:rPr>
        <w:t xml:space="preserve"> některé funkce. Obrázky a popisy mají pouze informativní charakter. </w:t>
      </w:r>
      <w:r w:rsidR="00F2616D" w:rsidRPr="00F2616D">
        <w:rPr>
          <w:rFonts w:ascii="Verdana" w:hAnsi="Verdana"/>
          <w:color w:val="FF0000"/>
          <w:sz w:val="22"/>
          <w:szCs w:val="22"/>
          <w:shd w:val="clear" w:color="auto" w:fill="FFFFFF"/>
        </w:rPr>
        <w:t>Provozní údaj</w:t>
      </w:r>
      <w:r w:rsidR="00544F0A" w:rsidRPr="00F2616D">
        <w:rPr>
          <w:rFonts w:ascii="Verdana" w:hAnsi="Verdana"/>
          <w:color w:val="FF0000"/>
          <w:sz w:val="22"/>
          <w:szCs w:val="22"/>
        </w:rPr>
        <w:t xml:space="preserve">e </w:t>
      </w:r>
      <w:r w:rsidR="00544F0A" w:rsidRPr="00544F0A">
        <w:rPr>
          <w:rFonts w:ascii="Verdana" w:hAnsi="Verdana"/>
          <w:color w:val="FF0000"/>
          <w:sz w:val="22"/>
          <w:szCs w:val="22"/>
        </w:rPr>
        <w:t xml:space="preserve">v tabulkách a grafech v aplikaci AQ3 </w:t>
      </w:r>
      <w:r w:rsidR="00F2616D">
        <w:rPr>
          <w:rFonts w:ascii="Verdana" w:hAnsi="Verdana"/>
          <w:color w:val="FF0000"/>
          <w:sz w:val="22"/>
          <w:szCs w:val="22"/>
        </w:rPr>
        <w:t>e</w:t>
      </w:r>
      <w:r w:rsidR="00544F0A" w:rsidRPr="00544F0A">
        <w:rPr>
          <w:rFonts w:ascii="Verdana" w:hAnsi="Verdana"/>
          <w:color w:val="FF0000"/>
          <w:sz w:val="22"/>
          <w:szCs w:val="22"/>
        </w:rPr>
        <w:t>Monitoring jsou orientační, jelikož  z</w:t>
      </w:r>
      <w:r w:rsidR="00F2616D">
        <w:rPr>
          <w:rFonts w:ascii="Verdana" w:hAnsi="Verdana"/>
          <w:color w:val="FF0000"/>
          <w:sz w:val="22"/>
          <w:szCs w:val="22"/>
        </w:rPr>
        <w:t> </w:t>
      </w:r>
      <w:r w:rsidR="00544F0A" w:rsidRPr="00544F0A">
        <w:rPr>
          <w:rFonts w:ascii="Verdana" w:hAnsi="Verdana"/>
          <w:color w:val="FF0000"/>
          <w:sz w:val="22"/>
          <w:szCs w:val="22"/>
        </w:rPr>
        <w:t>důvodu</w:t>
      </w:r>
      <w:r w:rsidR="00F2616D">
        <w:rPr>
          <w:rFonts w:ascii="Verdana" w:hAnsi="Verdana"/>
          <w:color w:val="FF0000"/>
          <w:sz w:val="22"/>
          <w:szCs w:val="22"/>
        </w:rPr>
        <w:t xml:space="preserve"> možné dočasné ztráty signálu a</w:t>
      </w:r>
      <w:r w:rsidR="00544F0A" w:rsidRPr="00544F0A">
        <w:rPr>
          <w:rFonts w:ascii="Verdana" w:hAnsi="Verdana"/>
          <w:color w:val="FF0000"/>
          <w:sz w:val="22"/>
          <w:szCs w:val="22"/>
        </w:rPr>
        <w:t xml:space="preserve"> průměrování dat v čase se nejedná vždy o  zcela aktuální hodnoty a dále dochází  k toleranci  při měření ze senzorů o +/- 3 %.</w:t>
      </w:r>
      <w:r w:rsidR="00544F0A">
        <w:rPr>
          <w:color w:val="FF0000"/>
        </w:rPr>
        <w:t xml:space="preserve"> </w:t>
      </w:r>
      <w:r>
        <w:rPr>
          <w:rFonts w:ascii="Verdana" w:hAnsi="Verdana"/>
          <w:color w:val="7030A0"/>
          <w:sz w:val="22"/>
          <w:szCs w:val="22"/>
          <w:shd w:val="clear" w:color="auto" w:fill="FFFFFF"/>
        </w:rPr>
        <w:t xml:space="preserve">Pokud si všimnete chyby, prosíme o její nahlášení. Uděláme vše proto, abychom ji odstranili. </w:t>
      </w:r>
    </w:p>
    <w:p w:rsidR="00287B1D" w:rsidRDefault="00287B1D"/>
    <w:p w:rsidR="00287B1D" w:rsidRDefault="00BB6CB9" w:rsidP="00E12D0A">
      <w:pPr>
        <w:pStyle w:val="Odstavecseseznamem"/>
        <w:numPr>
          <w:ilvl w:val="0"/>
          <w:numId w:val="29"/>
        </w:numPr>
        <w:spacing w:after="0" w:line="240" w:lineRule="auto"/>
        <w:ind w:left="-142" w:right="850"/>
        <w:rPr>
          <w:rFonts w:eastAsia="Times New Roman" w:cs="Arial"/>
          <w:lang w:eastAsia="cs-CZ"/>
        </w:rPr>
      </w:pPr>
      <w:r>
        <w:rPr>
          <w:rFonts w:eastAsia="Times New Roman" w:cs="Arial"/>
          <w:lang w:eastAsia="cs-CZ"/>
        </w:rPr>
        <w:t>Sdělujeme, že faktura slouží současně jako dodací list, záruční list, předávací doklad (</w:t>
      </w:r>
      <w:r>
        <w:rPr>
          <w:rFonts w:cs="Arial"/>
          <w:color w:val="000000"/>
          <w:shd w:val="clear" w:color="auto" w:fill="FFFFFF"/>
        </w:rPr>
        <w:t>pokud tyto nejsou ke zboží/službě přiloženy)</w:t>
      </w:r>
      <w:r>
        <w:rPr>
          <w:color w:val="000000"/>
          <w:shd w:val="clear" w:color="auto" w:fill="FFFFFF"/>
        </w:rPr>
        <w:t xml:space="preserve"> </w:t>
      </w:r>
      <w:r>
        <w:rPr>
          <w:rFonts w:eastAsia="Times New Roman" w:cs="Arial"/>
          <w:lang w:eastAsia="cs-CZ"/>
        </w:rPr>
        <w:t>a zároveň jako smlouva o odběru zboží a služeb</w:t>
      </w:r>
    </w:p>
    <w:p w:rsidR="00287B1D" w:rsidRDefault="00287B1D">
      <w:pPr>
        <w:pStyle w:val="Odstavecseseznamem"/>
        <w:spacing w:after="0" w:line="240" w:lineRule="auto"/>
        <w:ind w:left="-142" w:right="1134"/>
        <w:rPr>
          <w:rFonts w:eastAsia="Times New Roman" w:cs="Arial"/>
          <w:lang w:eastAsia="cs-CZ"/>
        </w:rPr>
      </w:pPr>
    </w:p>
    <w:p w:rsidR="00287B1D" w:rsidRDefault="00BB6CB9" w:rsidP="00E12D0A">
      <w:pPr>
        <w:pStyle w:val="Odstavecseseznamem"/>
        <w:numPr>
          <w:ilvl w:val="0"/>
          <w:numId w:val="12"/>
        </w:numPr>
        <w:spacing w:after="0" w:line="240" w:lineRule="auto"/>
        <w:ind w:left="-142" w:right="850"/>
        <w:rPr>
          <w:rFonts w:cs="Arial"/>
          <w:color w:val="0000FF"/>
        </w:rPr>
      </w:pPr>
      <w:r>
        <w:rPr>
          <w:rFonts w:cs="Arial"/>
        </w:rPr>
        <w:t>Převzetím faktury akceptujete  Všeobecné  obchodní podmínky</w:t>
      </w:r>
      <w:r>
        <w:rPr>
          <w:rFonts w:cs="Arial"/>
          <w:color w:val="1F497D" w:themeColor="dark2"/>
        </w:rPr>
        <w:t xml:space="preserve"> </w:t>
      </w:r>
      <w:r>
        <w:rPr>
          <w:rFonts w:cs="Arial"/>
        </w:rPr>
        <w:t xml:space="preserve">a ceníky v platném znění, které jsou  k dispozici na </w:t>
      </w:r>
      <w:hyperlink r:id="rId102">
        <w:r>
          <w:rPr>
            <w:rStyle w:val="Internetovodkaz"/>
            <w:rFonts w:cs="Arial"/>
          </w:rPr>
          <w:t>http://www.vti-cz.com/</w:t>
        </w:r>
      </w:hyperlink>
    </w:p>
    <w:p w:rsidR="00287B1D" w:rsidRDefault="00287B1D">
      <w:pPr>
        <w:pStyle w:val="Odstavecseseznamem"/>
        <w:rPr>
          <w:rFonts w:cs="Arial"/>
          <w:color w:val="0000FF"/>
        </w:rPr>
      </w:pPr>
    </w:p>
    <w:p w:rsidR="00287B1D" w:rsidRDefault="00287B1D">
      <w:pPr>
        <w:pStyle w:val="Odstavecseseznamem"/>
        <w:spacing w:after="0" w:line="240" w:lineRule="auto"/>
        <w:ind w:left="-142" w:right="1134"/>
        <w:rPr>
          <w:rFonts w:cs="Arial"/>
          <w:color w:val="0000FF"/>
        </w:rPr>
      </w:pPr>
    </w:p>
    <w:p w:rsidR="00287B1D" w:rsidRDefault="00BB6CB9" w:rsidP="00E12D0A">
      <w:pPr>
        <w:pStyle w:val="Odstavecseseznamem"/>
        <w:numPr>
          <w:ilvl w:val="0"/>
          <w:numId w:val="12"/>
        </w:numPr>
        <w:spacing w:after="0" w:line="240" w:lineRule="auto"/>
        <w:ind w:left="-142" w:right="850"/>
        <w:rPr>
          <w:rFonts w:cs="Arial"/>
        </w:rPr>
      </w:pPr>
      <w:r>
        <w:rPr>
          <w:rFonts w:cs="Arial"/>
        </w:rPr>
        <w:t>Souhlasíte, že v  případě fakturace smluvním velkoobchodním  partnerům, kteří budou v prodlení s plněním, zaniká velkoobchodní sleva a máme právo požadovat za vyfakturované  zboží po splatnosti  plnou cenu, jako u  koncového zákazníka</w:t>
      </w:r>
    </w:p>
    <w:p w:rsidR="00287B1D" w:rsidRDefault="00287B1D">
      <w:pPr>
        <w:pStyle w:val="Odstavecseseznamem"/>
        <w:spacing w:after="0" w:line="240" w:lineRule="auto"/>
        <w:ind w:left="-142" w:right="1134"/>
        <w:rPr>
          <w:rFonts w:cs="Arial"/>
        </w:rPr>
      </w:pPr>
    </w:p>
    <w:p w:rsidR="00287B1D" w:rsidRDefault="00BB6CB9" w:rsidP="00E12D0A">
      <w:pPr>
        <w:pStyle w:val="Odstavecseseznamem"/>
        <w:numPr>
          <w:ilvl w:val="0"/>
          <w:numId w:val="12"/>
        </w:numPr>
        <w:spacing w:after="0" w:line="240" w:lineRule="auto"/>
        <w:ind w:left="-142" w:right="850"/>
        <w:rPr>
          <w:rFonts w:eastAsia="Times New Roman" w:cs="Arial"/>
          <w:lang w:eastAsia="cs-CZ"/>
        </w:rPr>
      </w:pPr>
      <w:r>
        <w:rPr>
          <w:rFonts w:cs="Arial"/>
        </w:rPr>
        <w:t>Souhlasíte, že v  případě prodlení s plněním, tímto není dotčen nárok na úrok z prodlení a penále za pozdní platbu a</w:t>
      </w:r>
      <w:r>
        <w:rPr>
          <w:rFonts w:eastAsia="Times New Roman" w:cs="Arial"/>
          <w:color w:val="000000"/>
          <w:lang w:eastAsia="cs-CZ"/>
        </w:rPr>
        <w:t xml:space="preserve"> </w:t>
      </w:r>
      <w:proofErr w:type="gramStart"/>
      <w:r>
        <w:rPr>
          <w:rFonts w:eastAsia="Times New Roman" w:cs="Arial"/>
          <w:color w:val="000000"/>
          <w:lang w:eastAsia="cs-CZ"/>
        </w:rPr>
        <w:t>akceptujete  smluvní</w:t>
      </w:r>
      <w:proofErr w:type="gramEnd"/>
      <w:r>
        <w:rPr>
          <w:rFonts w:eastAsia="Times New Roman" w:cs="Arial"/>
          <w:color w:val="000000"/>
          <w:lang w:eastAsia="cs-CZ"/>
        </w:rPr>
        <w:t xml:space="preserve"> penále z prodlení 1 % za každý započatý den</w:t>
      </w:r>
    </w:p>
    <w:p w:rsidR="00287B1D" w:rsidRDefault="00BB6CB9">
      <w:pPr>
        <w:pStyle w:val="Odstavecseseznamem"/>
        <w:tabs>
          <w:tab w:val="left" w:pos="9072"/>
        </w:tabs>
        <w:spacing w:after="0" w:line="240" w:lineRule="auto"/>
        <w:ind w:left="-142" w:right="992"/>
      </w:pPr>
      <w:r>
        <w:t>---------------------------------------------------------------------------------------</w:t>
      </w:r>
    </w:p>
    <w:p w:rsidR="00287B1D" w:rsidRDefault="00287B1D">
      <w:pPr>
        <w:pStyle w:val="Odstavecseseznamem"/>
        <w:tabs>
          <w:tab w:val="left" w:pos="9072"/>
        </w:tabs>
        <w:spacing w:after="0" w:line="240" w:lineRule="auto"/>
        <w:ind w:left="-142" w:right="992"/>
      </w:pPr>
    </w:p>
    <w:p w:rsidR="00181482" w:rsidRPr="00E12D0A" w:rsidRDefault="00BB6CB9" w:rsidP="00E12D0A">
      <w:pPr>
        <w:shd w:val="clear" w:color="auto" w:fill="FFFFFF"/>
        <w:ind w:left="-142" w:right="567"/>
        <w:jc w:val="both"/>
        <w:rPr>
          <w:lang w:eastAsia="cs-CZ"/>
        </w:rPr>
      </w:pPr>
      <w:r>
        <w:rPr>
          <w:rFonts w:eastAsiaTheme="minorEastAsia"/>
          <w:lang w:eastAsia="cs-CZ"/>
        </w:rPr>
        <w:lastRenderedPageBreak/>
        <w:t xml:space="preserve">„Copyright </w:t>
      </w:r>
      <w:r>
        <w:rPr>
          <w:rFonts w:eastAsiaTheme="minorEastAsia"/>
          <w:b/>
          <w:bCs/>
          <w:lang w:eastAsia="cs-CZ"/>
        </w:rPr>
        <w:t>©</w:t>
      </w:r>
      <w:r>
        <w:rPr>
          <w:rFonts w:eastAsiaTheme="minorEastAsia"/>
          <w:lang w:eastAsia="cs-CZ"/>
        </w:rPr>
        <w:t xml:space="preserve"> 2011 - 202</w:t>
      </w:r>
      <w:r w:rsidR="00181482">
        <w:rPr>
          <w:rFonts w:eastAsiaTheme="minorEastAsia"/>
          <w:lang w:eastAsia="cs-CZ"/>
        </w:rPr>
        <w:t>2</w:t>
      </w:r>
      <w:r>
        <w:rPr>
          <w:rFonts w:eastAsiaTheme="minorEastAsia"/>
          <w:lang w:eastAsia="cs-CZ"/>
        </w:rPr>
        <w:t xml:space="preserve">/Carvan) - VTI - všechna práva vyhrazena“ Ochrana díla dle zákona </w:t>
      </w:r>
      <w:r>
        <w:rPr>
          <w:rFonts w:eastAsiaTheme="minorEastAsia"/>
          <w:b/>
          <w:bCs/>
          <w:lang w:eastAsia="cs-CZ"/>
        </w:rPr>
        <w:t>č. 121/2000</w:t>
      </w:r>
      <w:r>
        <w:rPr>
          <w:rFonts w:eastAsiaTheme="minorEastAsia"/>
          <w:lang w:eastAsia="cs-CZ"/>
        </w:rPr>
        <w:t xml:space="preserve"> Sb. včetně novelizací k </w:t>
      </w:r>
      <w:proofErr w:type="gramStart"/>
      <w:r>
        <w:rPr>
          <w:rFonts w:eastAsiaTheme="minorEastAsia"/>
          <w:b/>
          <w:bCs/>
          <w:lang w:eastAsia="cs-CZ"/>
        </w:rPr>
        <w:t>1.1.2019</w:t>
      </w:r>
      <w:proofErr w:type="gramEnd"/>
      <w:r>
        <w:rPr>
          <w:rFonts w:eastAsiaTheme="minorEastAsia"/>
          <w:lang w:eastAsia="cs-CZ"/>
        </w:rPr>
        <w:t xml:space="preserve"> „o právu autorském </w:t>
      </w:r>
      <w:r>
        <w:rPr>
          <w:rFonts w:eastAsiaTheme="minorEastAsia"/>
          <w:b/>
          <w:bCs/>
          <w:lang w:eastAsia="cs-CZ"/>
        </w:rPr>
        <w:t>§ 9, 30, 31</w:t>
      </w:r>
      <w:r>
        <w:rPr>
          <w:rFonts w:eastAsiaTheme="minorEastAsia"/>
          <w:lang w:eastAsia="cs-CZ"/>
        </w:rPr>
        <w:t xml:space="preserve">. Veškeré informace jsou v režimu důvěrné. Jakékoli kopírování, rozmnožování či předání informací  přímo nebo nepřímo třetí osobě, je možné </w:t>
      </w:r>
      <w:r>
        <w:rPr>
          <w:rFonts w:eastAsiaTheme="minorEastAsia"/>
          <w:u w:val="single"/>
          <w:lang w:eastAsia="cs-CZ"/>
        </w:rPr>
        <w:t>jen s písemným  souhlasem organizace</w:t>
      </w:r>
      <w:r>
        <w:rPr>
          <w:rFonts w:eastAsiaTheme="minorEastAsia"/>
          <w:lang w:eastAsia="cs-CZ"/>
        </w:rPr>
        <w:t xml:space="preserve">, více na </w:t>
      </w:r>
      <w:hyperlink r:id="rId103">
        <w:r>
          <w:rPr>
            <w:rStyle w:val="Internetovodkaz"/>
            <w:rFonts w:eastAsiaTheme="minorEastAsia"/>
            <w:lang w:eastAsia="cs-CZ"/>
          </w:rPr>
          <w:t>www.vti-cz.com</w:t>
        </w:r>
      </w:hyperlink>
      <w:r w:rsidR="00181482">
        <w:rPr>
          <w:rFonts w:eastAsiaTheme="minorEastAsia"/>
          <w:lang w:eastAsia="cs-CZ"/>
        </w:rPr>
        <w:t xml:space="preserve"> </w:t>
      </w:r>
      <w:r w:rsidR="00181482" w:rsidRPr="00181482">
        <w:rPr>
          <w:lang w:eastAsia="cs-CZ"/>
        </w:rPr>
        <w:t xml:space="preserve">nebo </w:t>
      </w:r>
      <w:hyperlink r:id="rId104" w:history="1">
        <w:r w:rsidR="00181482" w:rsidRPr="00181482">
          <w:rPr>
            <w:rStyle w:val="Hypertextovodkaz"/>
            <w:lang w:eastAsia="cs-CZ"/>
          </w:rPr>
          <w:t>https://aq3monitoring.com</w:t>
        </w:r>
      </w:hyperlink>
      <w:r w:rsidR="00E12D0A">
        <w:rPr>
          <w:lang w:eastAsia="cs-CZ"/>
        </w:rPr>
        <w:t xml:space="preserve"> </w:t>
      </w:r>
      <w:r>
        <w:rPr>
          <w:rFonts w:eastAsiaTheme="minorEastAsia"/>
          <w:lang w:eastAsia="cs-CZ"/>
        </w:rPr>
        <w:t>v sekci Obchodní podmínky (</w:t>
      </w:r>
      <w:r>
        <w:rPr>
          <w:rFonts w:eastAsiaTheme="minorEastAsia"/>
          <w:b/>
          <w:bCs/>
          <w:lang w:eastAsia="cs-CZ"/>
        </w:rPr>
        <w:t>VORP</w:t>
      </w:r>
      <w:r>
        <w:rPr>
          <w:rFonts w:eastAsiaTheme="minorEastAsia"/>
          <w:lang w:eastAsia="cs-CZ"/>
        </w:rPr>
        <w:t xml:space="preserve"> článek </w:t>
      </w:r>
      <w:r>
        <w:rPr>
          <w:rFonts w:eastAsiaTheme="minorEastAsia"/>
          <w:b/>
          <w:bCs/>
          <w:lang w:eastAsia="cs-CZ"/>
        </w:rPr>
        <w:t>12</w:t>
      </w:r>
      <w:r>
        <w:rPr>
          <w:rFonts w:eastAsiaTheme="minorEastAsia"/>
          <w:lang w:eastAsia="cs-CZ"/>
        </w:rPr>
        <w:t xml:space="preserve">, odst. </w:t>
      </w:r>
      <w:r>
        <w:rPr>
          <w:rFonts w:eastAsiaTheme="minorEastAsia"/>
          <w:b/>
          <w:bCs/>
          <w:lang w:eastAsia="cs-CZ"/>
        </w:rPr>
        <w:t>1; 2; 3; 4; 5,</w:t>
      </w:r>
      <w:r>
        <w:rPr>
          <w:rFonts w:eastAsiaTheme="minorEastAsia"/>
          <w:lang w:eastAsia="cs-CZ"/>
        </w:rPr>
        <w:t xml:space="preserve"> článek </w:t>
      </w:r>
      <w:r>
        <w:rPr>
          <w:rFonts w:eastAsiaTheme="minorEastAsia"/>
          <w:b/>
          <w:bCs/>
          <w:lang w:eastAsia="cs-CZ"/>
        </w:rPr>
        <w:t>16</w:t>
      </w:r>
      <w:r>
        <w:rPr>
          <w:rFonts w:eastAsiaTheme="minorEastAsia"/>
          <w:lang w:eastAsia="cs-CZ"/>
        </w:rPr>
        <w:t xml:space="preserve">, odst. </w:t>
      </w:r>
      <w:r>
        <w:rPr>
          <w:rFonts w:eastAsiaTheme="minorEastAsia"/>
          <w:b/>
          <w:bCs/>
          <w:lang w:eastAsia="cs-CZ"/>
        </w:rPr>
        <w:t>2</w:t>
      </w:r>
      <w:r>
        <w:rPr>
          <w:rFonts w:eastAsiaTheme="minorEastAsia"/>
          <w:lang w:eastAsia="cs-CZ"/>
        </w:rPr>
        <w:t>)</w:t>
      </w:r>
    </w:p>
    <w:p w:rsidR="00287B1D" w:rsidRDefault="00BB6CB9">
      <w:pPr>
        <w:ind w:right="284"/>
        <w:rPr>
          <w:b/>
          <w:i/>
          <w:color w:val="FF0000"/>
          <w:u w:val="single"/>
        </w:rPr>
      </w:pPr>
      <w:r>
        <w:rPr>
          <w:b/>
          <w:i/>
          <w:color w:val="FF0000"/>
          <w:u w:val="single"/>
        </w:rPr>
        <w:t xml:space="preserve">ad 19) Tematické přílohy s fotografiemi, grafy a tabulkami, kapacity náplní, vybavení modelů, tabulka náhradních </w:t>
      </w:r>
      <w:proofErr w:type="gramStart"/>
      <w:r>
        <w:rPr>
          <w:b/>
          <w:i/>
          <w:color w:val="FF0000"/>
          <w:u w:val="single"/>
        </w:rPr>
        <w:t>dílů,  poznámky</w:t>
      </w:r>
      <w:proofErr w:type="gramEnd"/>
      <w:r>
        <w:rPr>
          <w:b/>
          <w:i/>
          <w:color w:val="FF0000"/>
          <w:u w:val="single"/>
        </w:rPr>
        <w:t>, ©</w:t>
      </w:r>
    </w:p>
    <w:p w:rsidR="00287B1D" w:rsidRDefault="00287B1D">
      <w:pPr>
        <w:ind w:left="-142" w:right="1134"/>
        <w:contextualSpacing/>
        <w:jc w:val="both"/>
        <w:rPr>
          <w:rFonts w:ascii="Arial" w:eastAsia="Times New Roman" w:hAnsi="Arial" w:cs="Arial"/>
          <w:sz w:val="11"/>
          <w:szCs w:val="11"/>
          <w:lang w:eastAsia="cs-CZ"/>
        </w:rPr>
      </w:pPr>
    </w:p>
    <w:p w:rsidR="00287B1D" w:rsidRDefault="00482E3B">
      <w:pPr>
        <w:ind w:left="-142" w:right="1134"/>
        <w:contextualSpacing/>
        <w:jc w:val="both"/>
        <w:rPr>
          <w:rFonts w:ascii="Arial" w:eastAsia="Times New Roman" w:hAnsi="Arial" w:cs="Arial"/>
          <w:sz w:val="11"/>
          <w:szCs w:val="11"/>
          <w:lang w:eastAsia="cs-CZ"/>
        </w:rPr>
      </w:pPr>
      <w:r>
        <w:rPr>
          <w:rFonts w:ascii="Arial" w:eastAsia="Times New Roman" w:hAnsi="Arial" w:cs="Arial"/>
          <w:noProof/>
          <w:sz w:val="11"/>
          <w:szCs w:val="11"/>
          <w:lang w:eastAsia="cs-CZ"/>
        </w:rPr>
        <w:drawing>
          <wp:anchor distT="0" distB="0" distL="114300" distR="114300" simplePos="0" relativeHeight="251658240" behindDoc="1" locked="0" layoutInCell="1" allowOverlap="1" wp14:anchorId="655D8ABB" wp14:editId="50A001EC">
            <wp:simplePos x="0" y="0"/>
            <wp:positionH relativeFrom="column">
              <wp:posOffset>-281940</wp:posOffset>
            </wp:positionH>
            <wp:positionV relativeFrom="paragraph">
              <wp:posOffset>52705</wp:posOffset>
            </wp:positionV>
            <wp:extent cx="6715760" cy="4305300"/>
            <wp:effectExtent l="0" t="0" r="8890" b="0"/>
            <wp:wrapNone/>
            <wp:docPr id="57" name="Obrázek 57" descr="C:\Users\VTI\Documents\VTI\Schéma\AQ3 Mini Standard - Hydraulické schéma s GRAF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TI\Documents\VTI\Schéma\AQ3 Mini Standard - Hydraulické schéma s GRAFY.bmp"/>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715760" cy="4305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287B1D">
      <w:pPr>
        <w:ind w:left="-142" w:right="1134"/>
        <w:contextualSpacing/>
        <w:jc w:val="both"/>
        <w:rPr>
          <w:rFonts w:ascii="Arial" w:eastAsia="Times New Roman" w:hAnsi="Arial" w:cs="Arial"/>
          <w:sz w:val="11"/>
          <w:szCs w:val="11"/>
          <w:lang w:eastAsia="cs-CZ"/>
        </w:rPr>
      </w:pPr>
    </w:p>
    <w:p w:rsidR="00287B1D" w:rsidRDefault="00BB6CB9">
      <w:pPr>
        <w:ind w:left="-142" w:right="1134"/>
        <w:contextualSpacing/>
        <w:jc w:val="both"/>
        <w:rPr>
          <w:sz w:val="14"/>
          <w:szCs w:val="14"/>
        </w:rPr>
      </w:pPr>
      <w:r>
        <w:rPr>
          <w:noProof/>
          <w:lang w:eastAsia="cs-CZ"/>
        </w:rPr>
        <mc:AlternateContent>
          <mc:Choice Requires="wps">
            <w:drawing>
              <wp:anchor distT="0" distB="0" distL="0" distR="0" simplePos="0" relativeHeight="56" behindDoc="0" locked="0" layoutInCell="1" allowOverlap="1" wp14:anchorId="114F57A0">
                <wp:simplePos x="0" y="0"/>
                <wp:positionH relativeFrom="column">
                  <wp:posOffset>2638425</wp:posOffset>
                </wp:positionH>
                <wp:positionV relativeFrom="paragraph">
                  <wp:posOffset>5772150</wp:posOffset>
                </wp:positionV>
                <wp:extent cx="324485" cy="162560"/>
                <wp:effectExtent l="0" t="0" r="0" b="0"/>
                <wp:wrapNone/>
                <wp:docPr id="56" name="Obdélník 38"/>
                <wp:cNvGraphicFramePr/>
                <a:graphic xmlns:a="http://schemas.openxmlformats.org/drawingml/2006/main">
                  <a:graphicData uri="http://schemas.microsoft.com/office/word/2010/wordprocessingShape">
                    <wps:wsp>
                      <wps:cNvSpPr/>
                      <wps:spPr>
                        <a:xfrm>
                          <a:off x="0" y="0"/>
                          <a:ext cx="324000" cy="162000"/>
                        </a:xfrm>
                        <a:prstGeom prst="rect">
                          <a:avLst/>
                        </a:prstGeom>
                        <a:noFill/>
                        <a:ln>
                          <a:noFill/>
                        </a:ln>
                      </wps:spPr>
                      <wps:style>
                        <a:lnRef idx="0">
                          <a:scrgbClr r="0" g="0" b="0"/>
                        </a:lnRef>
                        <a:fillRef idx="0">
                          <a:scrgbClr r="0" g="0" b="0"/>
                        </a:fillRef>
                        <a:effectRef idx="0">
                          <a:scrgbClr r="0" g="0" b="0"/>
                        </a:effectRef>
                        <a:fontRef idx="minor"/>
                      </wps:style>
                      <wps:txbx>
                        <w:txbxContent>
                          <w:p w:rsidR="00002CC0" w:rsidRDefault="00002CC0">
                            <w:pPr>
                              <w:pStyle w:val="Obsahrmce"/>
                            </w:pPr>
                          </w:p>
                        </w:txbxContent>
                      </wps:txbx>
                      <wps:bodyPr>
                        <a:noAutofit/>
                      </wps:bodyPr>
                    </wps:wsp>
                  </a:graphicData>
                </a:graphic>
              </wp:anchor>
            </w:drawing>
          </mc:Choice>
          <mc:Fallback>
            <w:pict>
              <v:rect id="Obdélník 38" o:spid="_x0000_s1026" style="position:absolute;left:0;text-align:left;margin-left:207.75pt;margin-top:454.5pt;width:25.55pt;height:12.8pt;z-index:5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" filled="f" stroked="f">
                <v:textbox>
                  <w:txbxContent>
                    <w:p w:rsidR="00002CC0" w:rsidRDefault="00002CC0">
                      <w:pPr>
                        <w:pStyle w:val="Obsahrmce"/>
                      </w:pPr>
                    </w:p>
                  </w:txbxContent>
                </v:textbox>
              </v:rect>
            </w:pict>
          </mc:Fallback>
        </mc:AlternateContent>
      </w:r>
      <w:r>
        <w:rPr>
          <w:sz w:val="14"/>
          <w:szCs w:val="14"/>
        </w:rPr>
        <w:t xml:space="preserve">                         </w:t>
      </w:r>
      <w:proofErr w:type="gramStart"/>
      <w:r>
        <w:rPr>
          <w:sz w:val="14"/>
          <w:szCs w:val="14"/>
        </w:rPr>
        <w:t>Obr.1  Principiální</w:t>
      </w:r>
      <w:proofErr w:type="gramEnd"/>
      <w:r>
        <w:rPr>
          <w:sz w:val="14"/>
          <w:szCs w:val="14"/>
        </w:rPr>
        <w:t xml:space="preserve"> hydraulické schéma filtrační technologie AQ3 Mini Standard</w:t>
      </w:r>
    </w:p>
    <w:p w:rsidR="00287B1D" w:rsidRDefault="00BB6CB9">
      <w:pPr>
        <w:ind w:left="-426" w:right="284"/>
        <w:jc w:val="both"/>
      </w:pPr>
      <w:r>
        <w:rPr>
          <w:noProof/>
          <w:lang w:eastAsia="cs-CZ"/>
        </w:rPr>
        <w:drawing>
          <wp:anchor distT="0" distB="0" distL="0" distR="0" simplePos="0" relativeHeight="76" behindDoc="1" locked="0" layoutInCell="1" allowOverlap="1">
            <wp:simplePos x="0" y="0"/>
            <wp:positionH relativeFrom="column">
              <wp:posOffset>2905125</wp:posOffset>
            </wp:positionH>
            <wp:positionV relativeFrom="paragraph">
              <wp:posOffset>58420</wp:posOffset>
            </wp:positionV>
            <wp:extent cx="3890645" cy="2830195"/>
            <wp:effectExtent l="0" t="0" r="0" b="0"/>
            <wp:wrapNone/>
            <wp:docPr id="58" name="Obrázek 8" descr="C:\Users\VTI\Documents\VTI\RDM Modul (KM)\RDM2b - nový\RDM2b – Popis vstupů_EN (finální ver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ázek 8" descr="C:\Users\VTI\Documents\VTI\RDM Modul (KM)\RDM2b - nový\RDM2b – Popis vstupů_EN (finální verze).png"/>
                    <pic:cNvPicPr>
                      <a:picLocks noChangeAspect="1" noChangeArrowheads="1"/>
                    </pic:cNvPicPr>
                  </pic:nvPicPr>
                  <pic:blipFill>
                    <a:blip r:embed="rId106"/>
                    <a:stretch>
                      <a:fillRect/>
                    </a:stretch>
                  </pic:blipFill>
                  <pic:spPr bwMode="auto">
                    <a:xfrm>
                      <a:off x="0" y="0"/>
                      <a:ext cx="3890645" cy="2830195"/>
                    </a:xfrm>
                    <a:prstGeom prst="rect">
                      <a:avLst/>
                    </a:prstGeom>
                  </pic:spPr>
                </pic:pic>
              </a:graphicData>
            </a:graphic>
          </wp:anchor>
        </w:drawing>
      </w:r>
      <w:r>
        <w:rPr>
          <w:noProof/>
          <w:lang w:eastAsia="cs-CZ"/>
        </w:rPr>
        <w:drawing>
          <wp:anchor distT="0" distB="0" distL="0" distR="0" simplePos="0" relativeHeight="77" behindDoc="1" locked="0" layoutInCell="1" allowOverlap="1">
            <wp:simplePos x="0" y="0"/>
            <wp:positionH relativeFrom="column">
              <wp:posOffset>-481965</wp:posOffset>
            </wp:positionH>
            <wp:positionV relativeFrom="paragraph">
              <wp:posOffset>20955</wp:posOffset>
            </wp:positionV>
            <wp:extent cx="3385820" cy="3168650"/>
            <wp:effectExtent l="0" t="0" r="0" b="0"/>
            <wp:wrapNone/>
            <wp:docPr id="59" name="Obrázek 20" descr="C:\Users\VTI\Documents\VTI\RDM Modul (KM)\RDM2b - nový\RDM2b – Blokové schéma_EN (finální ver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ázek 20" descr="C:\Users\VTI\Documents\VTI\RDM Modul (KM)\RDM2b - nový\RDM2b – Blokové schéma_EN (finální verze).jpg"/>
                    <pic:cNvPicPr>
                      <a:picLocks noChangeAspect="1" noChangeArrowheads="1"/>
                    </pic:cNvPicPr>
                  </pic:nvPicPr>
                  <pic:blipFill>
                    <a:blip r:embed="rId107"/>
                    <a:stretch>
                      <a:fillRect/>
                    </a:stretch>
                  </pic:blipFill>
                  <pic:spPr bwMode="auto">
                    <a:xfrm>
                      <a:off x="0" y="0"/>
                      <a:ext cx="3385820" cy="3168650"/>
                    </a:xfrm>
                    <a:prstGeom prst="rect">
                      <a:avLst/>
                    </a:prstGeom>
                  </pic:spPr>
                </pic:pic>
              </a:graphicData>
            </a:graphic>
          </wp:anchor>
        </w:drawing>
      </w:r>
    </w:p>
    <w:p w:rsidR="00287B1D" w:rsidRDefault="00287B1D">
      <w:pPr>
        <w:ind w:left="-426" w:right="284"/>
        <w:jc w:val="both"/>
      </w:pPr>
    </w:p>
    <w:p w:rsidR="00287B1D" w:rsidRDefault="00287B1D">
      <w:pPr>
        <w:ind w:left="-426" w:right="284"/>
        <w:jc w:val="both"/>
      </w:pPr>
    </w:p>
    <w:p w:rsidR="00287B1D" w:rsidRDefault="00287B1D">
      <w:pPr>
        <w:ind w:left="-426" w:right="284"/>
        <w:jc w:val="both"/>
      </w:pPr>
    </w:p>
    <w:p w:rsidR="00287B1D" w:rsidRDefault="00287B1D">
      <w:pPr>
        <w:ind w:left="-426" w:right="284"/>
        <w:jc w:val="both"/>
      </w:pPr>
    </w:p>
    <w:p w:rsidR="00287B1D" w:rsidRDefault="00287B1D">
      <w:pPr>
        <w:ind w:left="-426" w:right="284"/>
        <w:jc w:val="both"/>
      </w:pPr>
    </w:p>
    <w:p w:rsidR="00287B1D" w:rsidRDefault="00287B1D">
      <w:pPr>
        <w:ind w:left="-426" w:right="284"/>
        <w:jc w:val="both"/>
      </w:pPr>
    </w:p>
    <w:p w:rsidR="00287B1D" w:rsidRDefault="00287B1D">
      <w:pPr>
        <w:ind w:left="-426" w:right="284"/>
        <w:jc w:val="both"/>
      </w:pPr>
    </w:p>
    <w:p w:rsidR="00287B1D" w:rsidRDefault="00287B1D">
      <w:pPr>
        <w:ind w:left="-426" w:right="284"/>
        <w:jc w:val="both"/>
      </w:pPr>
    </w:p>
    <w:p w:rsidR="00287B1D" w:rsidRDefault="00287B1D">
      <w:pPr>
        <w:ind w:right="284" w:hanging="426"/>
        <w:jc w:val="both"/>
        <w:rPr>
          <w:sz w:val="14"/>
          <w:szCs w:val="14"/>
        </w:rPr>
      </w:pPr>
    </w:p>
    <w:p w:rsidR="00287B1D" w:rsidRDefault="00BB6CB9">
      <w:pPr>
        <w:ind w:right="284" w:hanging="426"/>
        <w:jc w:val="both"/>
        <w:rPr>
          <w:sz w:val="14"/>
          <w:szCs w:val="14"/>
        </w:rPr>
      </w:pPr>
      <w:r>
        <w:rPr>
          <w:sz w:val="14"/>
          <w:szCs w:val="14"/>
        </w:rPr>
        <w:t xml:space="preserve">Obr.2  Blokové schéma elektroniky s RDM_2b v AQ3 </w:t>
      </w:r>
      <w:proofErr w:type="gramStart"/>
      <w:r>
        <w:rPr>
          <w:sz w:val="14"/>
          <w:szCs w:val="14"/>
        </w:rPr>
        <w:t>Mini                        Obr.</w:t>
      </w:r>
      <w:proofErr w:type="gramEnd"/>
      <w:r>
        <w:rPr>
          <w:sz w:val="14"/>
          <w:szCs w:val="14"/>
        </w:rPr>
        <w:t xml:space="preserve">2a  Společný komunikační modul RDM_2b  pro AQ3 Mini   </w:t>
      </w:r>
    </w:p>
    <w:p w:rsidR="00287B1D" w:rsidRDefault="00287B1D">
      <w:pPr>
        <w:ind w:right="284" w:hanging="426"/>
        <w:jc w:val="both"/>
        <w:rPr>
          <w:sz w:val="14"/>
          <w:szCs w:val="14"/>
        </w:rPr>
      </w:pPr>
    </w:p>
    <w:p w:rsidR="00287B1D" w:rsidRDefault="00BB6CB9">
      <w:pPr>
        <w:ind w:left="-426" w:right="284"/>
        <w:jc w:val="both"/>
      </w:pPr>
      <w:r>
        <w:rPr>
          <w:noProof/>
          <w:lang w:eastAsia="cs-CZ"/>
        </w:rPr>
        <w:drawing>
          <wp:anchor distT="0" distB="0" distL="0" distR="0" simplePos="0" relativeHeight="58" behindDoc="1" locked="0" layoutInCell="1" allowOverlap="1">
            <wp:simplePos x="0" y="0"/>
            <wp:positionH relativeFrom="column">
              <wp:posOffset>33655</wp:posOffset>
            </wp:positionH>
            <wp:positionV relativeFrom="paragraph">
              <wp:posOffset>-167005</wp:posOffset>
            </wp:positionV>
            <wp:extent cx="5812790" cy="3927475"/>
            <wp:effectExtent l="0" t="0" r="0" b="0"/>
            <wp:wrapNone/>
            <wp:docPr id="60" name="Obrázek 14" descr="C:\Users\VTI\Documents\VTI\Device Connection Scheme with Legend (NOV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ázek 14" descr="C:\Users\VTI\Documents\VTI\Device Connection Scheme with Legend (NOVÉ).png"/>
                    <pic:cNvPicPr>
                      <a:picLocks noChangeAspect="1" noChangeArrowheads="1"/>
                    </pic:cNvPicPr>
                  </pic:nvPicPr>
                  <pic:blipFill>
                    <a:blip r:embed="rId108"/>
                    <a:stretch>
                      <a:fillRect/>
                    </a:stretch>
                  </pic:blipFill>
                  <pic:spPr bwMode="auto">
                    <a:xfrm>
                      <a:off x="0" y="0"/>
                      <a:ext cx="5812790" cy="3927475"/>
                    </a:xfrm>
                    <a:prstGeom prst="rect">
                      <a:avLst/>
                    </a:prstGeom>
                  </pic:spPr>
                </pic:pic>
              </a:graphicData>
            </a:graphic>
          </wp:anchor>
        </w:drawing>
      </w:r>
    </w:p>
    <w:p w:rsidR="00287B1D" w:rsidRDefault="00287B1D">
      <w:pPr>
        <w:ind w:left="-426" w:right="284"/>
        <w:jc w:val="both"/>
      </w:pPr>
    </w:p>
    <w:p w:rsidR="00287B1D" w:rsidRDefault="00287B1D">
      <w:pPr>
        <w:ind w:left="-426" w:right="284"/>
        <w:jc w:val="both"/>
      </w:pPr>
    </w:p>
    <w:p w:rsidR="00287B1D" w:rsidRDefault="00287B1D">
      <w:pPr>
        <w:ind w:left="-426" w:right="284"/>
        <w:jc w:val="both"/>
      </w:pPr>
    </w:p>
    <w:p w:rsidR="00287B1D" w:rsidRDefault="00287B1D">
      <w:pPr>
        <w:ind w:left="-426" w:right="284"/>
        <w:jc w:val="both"/>
      </w:pPr>
    </w:p>
    <w:p w:rsidR="00287B1D" w:rsidRDefault="00287B1D">
      <w:pPr>
        <w:ind w:left="-426" w:right="284"/>
        <w:jc w:val="both"/>
      </w:pPr>
    </w:p>
    <w:p w:rsidR="00287B1D" w:rsidRDefault="00287B1D">
      <w:pPr>
        <w:ind w:right="284"/>
        <w:jc w:val="both"/>
      </w:pPr>
    </w:p>
    <w:p w:rsidR="00287B1D" w:rsidRDefault="00287B1D">
      <w:pPr>
        <w:ind w:left="-426" w:right="284"/>
        <w:jc w:val="both"/>
      </w:pPr>
    </w:p>
    <w:p w:rsidR="00287B1D" w:rsidRDefault="00287B1D">
      <w:pPr>
        <w:ind w:left="-426" w:right="284"/>
        <w:jc w:val="both"/>
      </w:pPr>
    </w:p>
    <w:p w:rsidR="00287B1D" w:rsidRDefault="00287B1D">
      <w:pPr>
        <w:ind w:left="-426" w:right="284"/>
        <w:jc w:val="both"/>
      </w:pPr>
    </w:p>
    <w:p w:rsidR="00287B1D" w:rsidRDefault="00287B1D">
      <w:pPr>
        <w:ind w:left="-426" w:right="284"/>
        <w:jc w:val="both"/>
      </w:pPr>
    </w:p>
    <w:p w:rsidR="00287B1D" w:rsidRDefault="00287B1D">
      <w:pPr>
        <w:ind w:left="-426" w:right="284"/>
        <w:rPr>
          <w:sz w:val="16"/>
          <w:szCs w:val="16"/>
        </w:rPr>
      </w:pPr>
    </w:p>
    <w:p w:rsidR="00287B1D" w:rsidRDefault="00BB6CB9">
      <w:pPr>
        <w:ind w:left="-426" w:right="284"/>
        <w:rPr>
          <w:sz w:val="14"/>
          <w:szCs w:val="14"/>
        </w:rPr>
      </w:pPr>
      <w:r>
        <w:rPr>
          <w:sz w:val="14"/>
          <w:szCs w:val="14"/>
        </w:rPr>
        <w:t xml:space="preserve">                     </w:t>
      </w:r>
      <w:proofErr w:type="gramStart"/>
      <w:r>
        <w:rPr>
          <w:sz w:val="14"/>
          <w:szCs w:val="14"/>
        </w:rPr>
        <w:t>Obr.3  Celkové</w:t>
      </w:r>
      <w:proofErr w:type="gramEnd"/>
      <w:r>
        <w:rPr>
          <w:sz w:val="14"/>
          <w:szCs w:val="14"/>
        </w:rPr>
        <w:t xml:space="preserve"> schéma propojení filtrační technologie AQ3 Mini s nádrží, přívodem, vývodem a odpadem</w:t>
      </w:r>
    </w:p>
    <w:p w:rsidR="00287B1D" w:rsidRDefault="00287B1D">
      <w:pPr>
        <w:ind w:left="-426" w:right="284"/>
        <w:rPr>
          <w:sz w:val="14"/>
          <w:szCs w:val="14"/>
        </w:rPr>
      </w:pPr>
    </w:p>
    <w:p w:rsidR="00287B1D" w:rsidRDefault="00BB6CB9">
      <w:pPr>
        <w:ind w:left="-426"/>
      </w:pPr>
      <w:r>
        <w:rPr>
          <w:noProof/>
          <w:lang w:eastAsia="cs-CZ"/>
        </w:rPr>
        <w:lastRenderedPageBreak/>
        <w:drawing>
          <wp:inline distT="0" distB="0" distL="0" distR="0">
            <wp:extent cx="6303645" cy="3357245"/>
            <wp:effectExtent l="0" t="0" r="0" b="0"/>
            <wp:docPr id="61" name="Obrázek 42" descr="C:\Users\VTI\Documents\VTI\ACO-Klaran meeting\UV-C 9. str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ázek 42" descr="C:\Users\VTI\Documents\VTI\ACO-Klaran meeting\UV-C 9. strana.png"/>
                    <pic:cNvPicPr>
                      <a:picLocks noChangeAspect="1" noChangeArrowheads="1"/>
                    </pic:cNvPicPr>
                  </pic:nvPicPr>
                  <pic:blipFill>
                    <a:blip r:embed="rId109"/>
                    <a:stretch>
                      <a:fillRect/>
                    </a:stretch>
                  </pic:blipFill>
                  <pic:spPr bwMode="auto">
                    <a:xfrm>
                      <a:off x="0" y="0"/>
                      <a:ext cx="6303645" cy="3357245"/>
                    </a:xfrm>
                    <a:prstGeom prst="rect">
                      <a:avLst/>
                    </a:prstGeom>
                  </pic:spPr>
                </pic:pic>
              </a:graphicData>
            </a:graphic>
          </wp:inline>
        </w:drawing>
      </w:r>
    </w:p>
    <w:p w:rsidR="00287B1D" w:rsidRDefault="00BB6CB9">
      <w:pPr>
        <w:ind w:left="-426"/>
        <w:jc w:val="center"/>
        <w:rPr>
          <w:sz w:val="14"/>
          <w:szCs w:val="14"/>
        </w:rPr>
      </w:pPr>
      <w:proofErr w:type="gramStart"/>
      <w:r>
        <w:rPr>
          <w:sz w:val="14"/>
          <w:szCs w:val="14"/>
        </w:rPr>
        <w:t>Obr.4  Základní</w:t>
      </w:r>
      <w:proofErr w:type="gramEnd"/>
      <w:r>
        <w:rPr>
          <w:sz w:val="14"/>
          <w:szCs w:val="14"/>
        </w:rPr>
        <w:t xml:space="preserve"> technické parametry sterilizačního přístroje</w:t>
      </w:r>
    </w:p>
    <w:p w:rsidR="00287B1D" w:rsidRDefault="00BB6CB9">
      <w:pPr>
        <w:ind w:left="-426"/>
      </w:pPr>
      <w:r>
        <w:rPr>
          <w:noProof/>
          <w:lang w:eastAsia="cs-CZ"/>
        </w:rPr>
        <w:drawing>
          <wp:inline distT="0" distB="0" distL="0" distR="0">
            <wp:extent cx="6330950" cy="3637280"/>
            <wp:effectExtent l="0" t="0" r="0" b="0"/>
            <wp:docPr id="62" name="Obrázek 43" descr="C:\Users\VTI\Documents\VTI\ACO-Klaran meeting\UV-C 1. str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 43" descr="C:\Users\VTI\Documents\VTI\ACO-Klaran meeting\UV-C 1. strana.png"/>
                    <pic:cNvPicPr>
                      <a:picLocks noChangeAspect="1" noChangeArrowheads="1"/>
                    </pic:cNvPicPr>
                  </pic:nvPicPr>
                  <pic:blipFill>
                    <a:blip r:embed="rId110"/>
                    <a:stretch>
                      <a:fillRect/>
                    </a:stretch>
                  </pic:blipFill>
                  <pic:spPr bwMode="auto">
                    <a:xfrm>
                      <a:off x="0" y="0"/>
                      <a:ext cx="6330950" cy="3637280"/>
                    </a:xfrm>
                    <a:prstGeom prst="rect">
                      <a:avLst/>
                    </a:prstGeom>
                  </pic:spPr>
                </pic:pic>
              </a:graphicData>
            </a:graphic>
          </wp:inline>
        </w:drawing>
      </w:r>
    </w:p>
    <w:p w:rsidR="00287B1D" w:rsidRDefault="00BB6CB9">
      <w:pPr>
        <w:ind w:left="167"/>
        <w:rPr>
          <w:sz w:val="14"/>
          <w:szCs w:val="14"/>
        </w:rPr>
      </w:pPr>
      <w:r>
        <w:rPr>
          <w:sz w:val="14"/>
          <w:szCs w:val="14"/>
        </w:rPr>
        <w:t xml:space="preserve">Obr.5 UV-C LED na bázi nitridu hliníku umožňuje intenzivnější a spolehlivější výstup UV-C při germicidních vlnových </w:t>
      </w:r>
      <w:proofErr w:type="gramStart"/>
      <w:r>
        <w:rPr>
          <w:sz w:val="14"/>
          <w:szCs w:val="14"/>
        </w:rPr>
        <w:t>délkách                                             (260</w:t>
      </w:r>
      <w:proofErr w:type="gramEnd"/>
      <w:r>
        <w:rPr>
          <w:sz w:val="14"/>
          <w:szCs w:val="14"/>
        </w:rPr>
        <w:t xml:space="preserve"> nm - 275 nm), kde  má vyšší dezinfekční schopnost</w:t>
      </w:r>
    </w:p>
    <w:p w:rsidR="00287B1D" w:rsidRDefault="00287B1D">
      <w:pPr>
        <w:ind w:left="167"/>
        <w:rPr>
          <w:sz w:val="14"/>
          <w:szCs w:val="14"/>
        </w:rPr>
      </w:pPr>
    </w:p>
    <w:p w:rsidR="00287B1D" w:rsidRDefault="00BB6CB9">
      <w:pPr>
        <w:ind w:left="-426"/>
        <w:jc w:val="both"/>
      </w:pPr>
      <w:r>
        <w:rPr>
          <w:noProof/>
          <w:lang w:eastAsia="cs-CZ"/>
        </w:rPr>
        <w:lastRenderedPageBreak/>
        <w:drawing>
          <wp:inline distT="0" distB="0" distL="0" distR="0">
            <wp:extent cx="6369050" cy="3333750"/>
            <wp:effectExtent l="0" t="0" r="0" b="0"/>
            <wp:docPr id="63" name="Obrázek 44" descr="C:\Users\VTI\Documents\VTI\ACO-Klaran meeting\UV-C 8. str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 44" descr="C:\Users\VTI\Documents\VTI\ACO-Klaran meeting\UV-C 8. strana.png"/>
                    <pic:cNvPicPr>
                      <a:picLocks noChangeAspect="1" noChangeArrowheads="1"/>
                    </pic:cNvPicPr>
                  </pic:nvPicPr>
                  <pic:blipFill>
                    <a:blip r:embed="rId111"/>
                    <a:stretch>
                      <a:fillRect/>
                    </a:stretch>
                  </pic:blipFill>
                  <pic:spPr bwMode="auto">
                    <a:xfrm>
                      <a:off x="0" y="0"/>
                      <a:ext cx="6369050" cy="3333750"/>
                    </a:xfrm>
                    <a:prstGeom prst="rect">
                      <a:avLst/>
                    </a:prstGeom>
                  </pic:spPr>
                </pic:pic>
              </a:graphicData>
            </a:graphic>
          </wp:inline>
        </w:drawing>
      </w:r>
    </w:p>
    <w:p w:rsidR="00287B1D" w:rsidRDefault="00BB6CB9">
      <w:pPr>
        <w:ind w:left="-426"/>
        <w:jc w:val="center"/>
        <w:rPr>
          <w:sz w:val="14"/>
          <w:szCs w:val="14"/>
        </w:rPr>
      </w:pPr>
      <w:proofErr w:type="gramStart"/>
      <w:r>
        <w:rPr>
          <w:sz w:val="14"/>
          <w:szCs w:val="14"/>
        </w:rPr>
        <w:t>Obr.6 Důvod</w:t>
      </w:r>
      <w:proofErr w:type="gramEnd"/>
      <w:r>
        <w:rPr>
          <w:sz w:val="14"/>
          <w:szCs w:val="14"/>
        </w:rPr>
        <w:t xml:space="preserve"> nasazení UV-C LED technologie do  AQ3 Mini</w:t>
      </w:r>
    </w:p>
    <w:p w:rsidR="00287B1D" w:rsidRDefault="0052510F">
      <w:pPr>
        <w:ind w:left="-426"/>
      </w:pPr>
      <w:r>
        <w:rPr>
          <w:noProof/>
          <w:lang w:eastAsia="cs-CZ"/>
        </w:rPr>
        <w:t>permeát</w:t>
      </w:r>
      <w:r w:rsidR="00BB6CB9">
        <w:rPr>
          <w:noProof/>
          <w:lang w:eastAsia="cs-CZ"/>
        </w:rPr>
        <w:drawing>
          <wp:inline distT="0" distB="0" distL="0" distR="0">
            <wp:extent cx="6330950" cy="3632200"/>
            <wp:effectExtent l="0" t="0" r="0" b="0"/>
            <wp:docPr id="64" name="Obrázek 45" descr="C:\Users\VTI\Documents\VTI\ACO-Klaran meeting\UV-C 10. str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ázek 45" descr="C:\Users\VTI\Documents\VTI\ACO-Klaran meeting\UV-C 10. strana.png"/>
                    <pic:cNvPicPr>
                      <a:picLocks noChangeAspect="1" noChangeArrowheads="1"/>
                    </pic:cNvPicPr>
                  </pic:nvPicPr>
                  <pic:blipFill>
                    <a:blip r:embed="rId112"/>
                    <a:stretch>
                      <a:fillRect/>
                    </a:stretch>
                  </pic:blipFill>
                  <pic:spPr bwMode="auto">
                    <a:xfrm>
                      <a:off x="0" y="0"/>
                      <a:ext cx="6330950" cy="3632200"/>
                    </a:xfrm>
                    <a:prstGeom prst="rect">
                      <a:avLst/>
                    </a:prstGeom>
                  </pic:spPr>
                </pic:pic>
              </a:graphicData>
            </a:graphic>
          </wp:inline>
        </w:drawing>
      </w:r>
    </w:p>
    <w:p w:rsidR="00287B1D" w:rsidRDefault="00BB6CB9">
      <w:pPr>
        <w:ind w:left="-426"/>
        <w:jc w:val="center"/>
        <w:rPr>
          <w:sz w:val="14"/>
          <w:szCs w:val="14"/>
        </w:rPr>
      </w:pPr>
      <w:proofErr w:type="gramStart"/>
      <w:r>
        <w:rPr>
          <w:sz w:val="14"/>
          <w:szCs w:val="14"/>
        </w:rPr>
        <w:t>Obr.7;</w:t>
      </w:r>
      <w:proofErr w:type="gramEnd"/>
      <w:r>
        <w:rPr>
          <w:sz w:val="14"/>
          <w:szCs w:val="14"/>
        </w:rPr>
        <w:t xml:space="preserve"> </w:t>
      </w:r>
      <w:proofErr w:type="gramStart"/>
      <w:r>
        <w:rPr>
          <w:sz w:val="14"/>
          <w:szCs w:val="14"/>
        </w:rPr>
        <w:t>Graf.1 Účinnost</w:t>
      </w:r>
      <w:proofErr w:type="gramEnd"/>
      <w:r>
        <w:rPr>
          <w:sz w:val="14"/>
          <w:szCs w:val="14"/>
        </w:rPr>
        <w:t xml:space="preserve"> likvidace E. Coli v závislosti na čase zdržení a rychlosti průtoku vody</w:t>
      </w:r>
    </w:p>
    <w:p w:rsidR="00287B1D" w:rsidRDefault="00287B1D">
      <w:pPr>
        <w:ind w:left="-426"/>
        <w:jc w:val="center"/>
        <w:rPr>
          <w:sz w:val="14"/>
          <w:szCs w:val="14"/>
        </w:rPr>
      </w:pPr>
    </w:p>
    <w:p w:rsidR="00287B1D" w:rsidRDefault="00BB6CB9">
      <w:pPr>
        <w:ind w:left="-426"/>
      </w:pPr>
      <w:r>
        <w:rPr>
          <w:noProof/>
          <w:lang w:eastAsia="cs-CZ"/>
        </w:rPr>
        <w:lastRenderedPageBreak/>
        <w:drawing>
          <wp:inline distT="0" distB="0" distL="0" distR="0">
            <wp:extent cx="6327140" cy="3366770"/>
            <wp:effectExtent l="0" t="0" r="0" b="0"/>
            <wp:docPr id="65" name="Obrázek 46" descr="C:\Users\VTI\Documents\VTI\ACO-Klaran meeting\UV-C 11. str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ázek 46" descr="C:\Users\VTI\Documents\VTI\ACO-Klaran meeting\UV-C 11. strana.png"/>
                    <pic:cNvPicPr>
                      <a:picLocks noChangeAspect="1" noChangeArrowheads="1"/>
                    </pic:cNvPicPr>
                  </pic:nvPicPr>
                  <pic:blipFill>
                    <a:blip r:embed="rId113"/>
                    <a:stretch>
                      <a:fillRect/>
                    </a:stretch>
                  </pic:blipFill>
                  <pic:spPr bwMode="auto">
                    <a:xfrm>
                      <a:off x="0" y="0"/>
                      <a:ext cx="6327140" cy="3366770"/>
                    </a:xfrm>
                    <a:prstGeom prst="rect">
                      <a:avLst/>
                    </a:prstGeom>
                  </pic:spPr>
                </pic:pic>
              </a:graphicData>
            </a:graphic>
          </wp:inline>
        </w:drawing>
      </w:r>
    </w:p>
    <w:p w:rsidR="00287B1D" w:rsidRDefault="00BB6CB9">
      <w:pPr>
        <w:ind w:left="-426"/>
        <w:jc w:val="center"/>
        <w:rPr>
          <w:sz w:val="14"/>
          <w:szCs w:val="14"/>
        </w:rPr>
      </w:pPr>
      <w:proofErr w:type="gramStart"/>
      <w:r>
        <w:rPr>
          <w:sz w:val="14"/>
          <w:szCs w:val="14"/>
        </w:rPr>
        <w:t>Obr.8;</w:t>
      </w:r>
      <w:proofErr w:type="gramEnd"/>
      <w:r>
        <w:rPr>
          <w:sz w:val="14"/>
          <w:szCs w:val="14"/>
        </w:rPr>
        <w:t xml:space="preserve"> </w:t>
      </w:r>
      <w:proofErr w:type="gramStart"/>
      <w:r>
        <w:rPr>
          <w:sz w:val="14"/>
          <w:szCs w:val="14"/>
        </w:rPr>
        <w:t>Graf.2 Očekávaná</w:t>
      </w:r>
      <w:proofErr w:type="gramEnd"/>
      <w:r>
        <w:rPr>
          <w:sz w:val="14"/>
          <w:szCs w:val="14"/>
        </w:rPr>
        <w:t xml:space="preserve"> účinnost vs. průtok po spotřebě 36 000 litrů</w:t>
      </w:r>
    </w:p>
    <w:p w:rsidR="00287B1D" w:rsidRDefault="00BB6CB9">
      <w:pPr>
        <w:ind w:left="-426"/>
      </w:pPr>
      <w:r>
        <w:rPr>
          <w:noProof/>
          <w:lang w:eastAsia="cs-CZ"/>
        </w:rPr>
        <w:drawing>
          <wp:inline distT="0" distB="0" distL="0" distR="0">
            <wp:extent cx="6327140" cy="3472815"/>
            <wp:effectExtent l="0" t="0" r="0" b="0"/>
            <wp:docPr id="6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ázek 16"/>
                    <pic:cNvPicPr>
                      <a:picLocks noChangeAspect="1" noChangeArrowheads="1"/>
                    </pic:cNvPicPr>
                  </pic:nvPicPr>
                  <pic:blipFill>
                    <a:blip r:embed="rId114"/>
                    <a:stretch>
                      <a:fillRect/>
                    </a:stretch>
                  </pic:blipFill>
                  <pic:spPr bwMode="auto">
                    <a:xfrm>
                      <a:off x="0" y="0"/>
                      <a:ext cx="6327140" cy="3472815"/>
                    </a:xfrm>
                    <a:prstGeom prst="rect">
                      <a:avLst/>
                    </a:prstGeom>
                  </pic:spPr>
                </pic:pic>
              </a:graphicData>
            </a:graphic>
          </wp:inline>
        </w:drawing>
      </w:r>
    </w:p>
    <w:p w:rsidR="00287B1D" w:rsidRDefault="00BB6CB9">
      <w:pPr>
        <w:ind w:left="-426"/>
        <w:jc w:val="center"/>
        <w:rPr>
          <w:sz w:val="14"/>
          <w:szCs w:val="14"/>
        </w:rPr>
      </w:pPr>
      <w:proofErr w:type="gramStart"/>
      <w:r>
        <w:rPr>
          <w:sz w:val="14"/>
          <w:szCs w:val="14"/>
        </w:rPr>
        <w:t>Obr.9;</w:t>
      </w:r>
      <w:proofErr w:type="gramEnd"/>
      <w:r>
        <w:rPr>
          <w:sz w:val="14"/>
          <w:szCs w:val="14"/>
        </w:rPr>
        <w:t xml:space="preserve"> </w:t>
      </w:r>
      <w:proofErr w:type="gramStart"/>
      <w:r>
        <w:rPr>
          <w:sz w:val="14"/>
          <w:szCs w:val="14"/>
        </w:rPr>
        <w:t>Graf.3 Jak</w:t>
      </w:r>
      <w:proofErr w:type="gramEnd"/>
      <w:r>
        <w:rPr>
          <w:sz w:val="14"/>
          <w:szCs w:val="14"/>
        </w:rPr>
        <w:t xml:space="preserve"> funguje UV-C dezinfekce</w:t>
      </w:r>
    </w:p>
    <w:p w:rsidR="00287B1D" w:rsidRDefault="00BB6CB9">
      <w:pPr>
        <w:spacing w:after="0"/>
        <w:ind w:left="-426"/>
        <w:rPr>
          <w:sz w:val="14"/>
          <w:szCs w:val="14"/>
        </w:rPr>
      </w:pPr>
      <w:r>
        <w:rPr>
          <w:sz w:val="14"/>
          <w:szCs w:val="14"/>
        </w:rPr>
        <w:t>• Nukleové kyseliny silně absorbují vlnové délky UV-C s maximální absorpcí kolem 265 nm</w:t>
      </w:r>
    </w:p>
    <w:p w:rsidR="00287B1D" w:rsidRDefault="00BB6CB9">
      <w:pPr>
        <w:spacing w:after="0"/>
        <w:ind w:left="-426"/>
        <w:rPr>
          <w:sz w:val="14"/>
          <w:szCs w:val="14"/>
        </w:rPr>
      </w:pPr>
      <w:r>
        <w:rPr>
          <w:sz w:val="14"/>
          <w:szCs w:val="14"/>
        </w:rPr>
        <w:t>• U mikrobů na bázi „RNA uracil“ absorbuje UV-C světlo místo tyminu, s maximální absorpcí kolem 260 nm.</w:t>
      </w:r>
    </w:p>
    <w:p w:rsidR="00287B1D" w:rsidRDefault="00BB6CB9">
      <w:pPr>
        <w:spacing w:after="0"/>
        <w:ind w:left="-426"/>
        <w:rPr>
          <w:sz w:val="14"/>
          <w:szCs w:val="14"/>
        </w:rPr>
      </w:pPr>
      <w:r>
        <w:rPr>
          <w:sz w:val="14"/>
          <w:szCs w:val="14"/>
        </w:rPr>
        <w:t>• Při ozařování UV-C dochází ke změně DNA patogenů. Patogen se tedy již nemůže replikovat, dochází k </w:t>
      </w:r>
      <w:r>
        <w:rPr>
          <w:color w:val="FF0000"/>
          <w:sz w:val="14"/>
          <w:szCs w:val="14"/>
        </w:rPr>
        <w:t>INAKTIVACI</w:t>
      </w:r>
    </w:p>
    <w:p w:rsidR="00287B1D" w:rsidRDefault="00287B1D">
      <w:pPr>
        <w:spacing w:after="0"/>
        <w:ind w:left="-426"/>
        <w:rPr>
          <w:sz w:val="14"/>
          <w:szCs w:val="14"/>
        </w:rPr>
      </w:pPr>
    </w:p>
    <w:p w:rsidR="00287B1D" w:rsidRDefault="00287B1D">
      <w:pPr>
        <w:spacing w:after="0"/>
        <w:ind w:left="-426"/>
        <w:rPr>
          <w:sz w:val="14"/>
          <w:szCs w:val="14"/>
        </w:rPr>
      </w:pPr>
    </w:p>
    <w:p w:rsidR="00287B1D" w:rsidRDefault="00BB6CB9">
      <w:pPr>
        <w:ind w:left="-426"/>
      </w:pPr>
      <w:r>
        <w:lastRenderedPageBreak/>
        <w:t xml:space="preserve">      </w:t>
      </w:r>
      <w:r>
        <w:rPr>
          <w:noProof/>
          <w:lang w:eastAsia="cs-CZ"/>
        </w:rPr>
        <w:drawing>
          <wp:inline distT="0" distB="0" distL="0" distR="0">
            <wp:extent cx="5872480" cy="3175000"/>
            <wp:effectExtent l="0" t="0" r="0" b="0"/>
            <wp:docPr id="67" name="Obrázek 18" descr="C:\Users\VTI\Documents\VTI\ACO-Klaran meeting\UV-C 2. str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ázek 18" descr="C:\Users\VTI\Documents\VTI\ACO-Klaran meeting\UV-C 2. strana.png"/>
                    <pic:cNvPicPr>
                      <a:picLocks noChangeAspect="1" noChangeArrowheads="1"/>
                    </pic:cNvPicPr>
                  </pic:nvPicPr>
                  <pic:blipFill>
                    <a:blip r:embed="rId115"/>
                    <a:stretch>
                      <a:fillRect/>
                    </a:stretch>
                  </pic:blipFill>
                  <pic:spPr bwMode="auto">
                    <a:xfrm>
                      <a:off x="0" y="0"/>
                      <a:ext cx="5872480" cy="3175000"/>
                    </a:xfrm>
                    <a:prstGeom prst="rect">
                      <a:avLst/>
                    </a:prstGeom>
                  </pic:spPr>
                </pic:pic>
              </a:graphicData>
            </a:graphic>
          </wp:inline>
        </w:drawing>
      </w:r>
    </w:p>
    <w:p w:rsidR="00287B1D" w:rsidRDefault="00BB6CB9">
      <w:pPr>
        <w:ind w:left="-426" w:right="284"/>
        <w:jc w:val="center"/>
        <w:rPr>
          <w:sz w:val="14"/>
          <w:szCs w:val="14"/>
        </w:rPr>
      </w:pPr>
      <w:proofErr w:type="gramStart"/>
      <w:r>
        <w:rPr>
          <w:sz w:val="14"/>
          <w:szCs w:val="14"/>
        </w:rPr>
        <w:t>Obr.10</w:t>
      </w:r>
      <w:proofErr w:type="gramEnd"/>
      <w:r>
        <w:rPr>
          <w:sz w:val="14"/>
          <w:szCs w:val="14"/>
        </w:rPr>
        <w:t xml:space="preserve"> Rozsah vlnových délek UV-C</w:t>
      </w:r>
    </w:p>
    <w:p w:rsidR="00287B1D" w:rsidRDefault="00BB6CB9">
      <w:pPr>
        <w:ind w:left="-426"/>
      </w:pPr>
      <w:r>
        <w:rPr>
          <w:noProof/>
          <w:lang w:eastAsia="cs-CZ"/>
        </w:rPr>
        <w:drawing>
          <wp:inline distT="0" distB="0" distL="0" distR="0">
            <wp:extent cx="6330950" cy="3638550"/>
            <wp:effectExtent l="0" t="0" r="0" b="0"/>
            <wp:docPr id="68" name="Obrázek 19" descr="C:\Users\VTI\Documents\VTI\ACO-Klaran meeting\UV-C 6. str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ázek 19" descr="C:\Users\VTI\Documents\VTI\ACO-Klaran meeting\UV-C 6. strana.png"/>
                    <pic:cNvPicPr>
                      <a:picLocks noChangeAspect="1" noChangeArrowheads="1"/>
                    </pic:cNvPicPr>
                  </pic:nvPicPr>
                  <pic:blipFill>
                    <a:blip r:embed="rId116"/>
                    <a:stretch>
                      <a:fillRect/>
                    </a:stretch>
                  </pic:blipFill>
                  <pic:spPr bwMode="auto">
                    <a:xfrm>
                      <a:off x="0" y="0"/>
                      <a:ext cx="6330950" cy="3638550"/>
                    </a:xfrm>
                    <a:prstGeom prst="rect">
                      <a:avLst/>
                    </a:prstGeom>
                  </pic:spPr>
                </pic:pic>
              </a:graphicData>
            </a:graphic>
          </wp:inline>
        </w:drawing>
      </w:r>
    </w:p>
    <w:p w:rsidR="00287B1D" w:rsidRDefault="00BB6CB9">
      <w:pPr>
        <w:ind w:left="-426"/>
        <w:jc w:val="center"/>
        <w:rPr>
          <w:sz w:val="14"/>
          <w:szCs w:val="14"/>
        </w:rPr>
      </w:pPr>
      <w:proofErr w:type="gramStart"/>
      <w:r>
        <w:rPr>
          <w:sz w:val="14"/>
          <w:szCs w:val="14"/>
        </w:rPr>
        <w:t>Obr.11</w:t>
      </w:r>
      <w:proofErr w:type="gramEnd"/>
      <w:r>
        <w:rPr>
          <w:sz w:val="14"/>
          <w:szCs w:val="14"/>
        </w:rPr>
        <w:t xml:space="preserve">; </w:t>
      </w:r>
      <w:proofErr w:type="gramStart"/>
      <w:r>
        <w:rPr>
          <w:sz w:val="14"/>
          <w:szCs w:val="14"/>
        </w:rPr>
        <w:t>Graf.4  Rozsah</w:t>
      </w:r>
      <w:proofErr w:type="gramEnd"/>
      <w:r>
        <w:rPr>
          <w:sz w:val="14"/>
          <w:szCs w:val="14"/>
        </w:rPr>
        <w:t xml:space="preserve"> germicidního pásma, kde dochází k inaktivaci DNA, 250–280 nm</w:t>
      </w:r>
    </w:p>
    <w:p w:rsidR="00287B1D" w:rsidRDefault="00287B1D">
      <w:pPr>
        <w:ind w:left="-426"/>
        <w:jc w:val="center"/>
        <w:rPr>
          <w:sz w:val="14"/>
          <w:szCs w:val="14"/>
        </w:rPr>
      </w:pPr>
    </w:p>
    <w:p w:rsidR="00287B1D" w:rsidRDefault="00287B1D">
      <w:pPr>
        <w:ind w:left="-426"/>
        <w:jc w:val="center"/>
        <w:rPr>
          <w:sz w:val="14"/>
          <w:szCs w:val="14"/>
        </w:rPr>
      </w:pPr>
    </w:p>
    <w:p w:rsidR="00287B1D" w:rsidRDefault="00BB6CB9">
      <w:pPr>
        <w:ind w:left="-426"/>
      </w:pPr>
      <w:r>
        <w:rPr>
          <w:noProof/>
          <w:lang w:eastAsia="cs-CZ"/>
        </w:rPr>
        <w:lastRenderedPageBreak/>
        <w:drawing>
          <wp:inline distT="0" distB="0" distL="0" distR="0">
            <wp:extent cx="6326505" cy="3357880"/>
            <wp:effectExtent l="0" t="0" r="0" b="0"/>
            <wp:docPr id="69" name="Obrázek 10" descr="C:\Users\VTI\AppData\Local\Microsoft\Windows\INetCache\Content.Outlook\LXBQQKOP\Germicidal Wavelenght - VTI UV-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ázek 10" descr="C:\Users\VTI\AppData\Local\Microsoft\Windows\INetCache\Content.Outlook\LXBQQKOP\Germicidal Wavelenght - VTI UV-C.png"/>
                    <pic:cNvPicPr>
                      <a:picLocks noChangeAspect="1" noChangeArrowheads="1"/>
                    </pic:cNvPicPr>
                  </pic:nvPicPr>
                  <pic:blipFill>
                    <a:blip r:embed="rId117"/>
                    <a:stretch>
                      <a:fillRect/>
                    </a:stretch>
                  </pic:blipFill>
                  <pic:spPr bwMode="auto">
                    <a:xfrm>
                      <a:off x="0" y="0"/>
                      <a:ext cx="6326505" cy="3357880"/>
                    </a:xfrm>
                    <a:prstGeom prst="rect">
                      <a:avLst/>
                    </a:prstGeom>
                  </pic:spPr>
                </pic:pic>
              </a:graphicData>
            </a:graphic>
          </wp:inline>
        </w:drawing>
      </w:r>
    </w:p>
    <w:p w:rsidR="00287B1D" w:rsidRDefault="00BB6CB9">
      <w:pPr>
        <w:ind w:left="-426"/>
        <w:jc w:val="center"/>
        <w:rPr>
          <w:sz w:val="14"/>
          <w:szCs w:val="14"/>
        </w:rPr>
      </w:pPr>
      <w:proofErr w:type="gramStart"/>
      <w:r>
        <w:rPr>
          <w:sz w:val="14"/>
          <w:szCs w:val="14"/>
        </w:rPr>
        <w:t>Obr.12</w:t>
      </w:r>
      <w:proofErr w:type="gramEnd"/>
      <w:r>
        <w:rPr>
          <w:sz w:val="14"/>
          <w:szCs w:val="14"/>
        </w:rPr>
        <w:t xml:space="preserve">; </w:t>
      </w:r>
      <w:proofErr w:type="gramStart"/>
      <w:r>
        <w:rPr>
          <w:sz w:val="14"/>
          <w:szCs w:val="14"/>
        </w:rPr>
        <w:t>Graf.5 Nejúčinnější</w:t>
      </w:r>
      <w:proofErr w:type="gramEnd"/>
      <w:r>
        <w:rPr>
          <w:sz w:val="14"/>
          <w:szCs w:val="14"/>
        </w:rPr>
        <w:t xml:space="preserve"> část vlnového pásma, kde dochází k nejvyšší inaktivaci DNA, 260-175 nm (nanometrů)</w:t>
      </w:r>
    </w:p>
    <w:p w:rsidR="00287B1D" w:rsidRDefault="00BB6CB9">
      <w:pPr>
        <w:ind w:left="-426"/>
      </w:pPr>
      <w:r>
        <w:rPr>
          <w:noProof/>
          <w:lang w:eastAsia="cs-CZ"/>
        </w:rPr>
        <w:drawing>
          <wp:inline distT="0" distB="0" distL="0" distR="0">
            <wp:extent cx="6327775" cy="3679825"/>
            <wp:effectExtent l="0" t="0" r="0" b="0"/>
            <wp:docPr id="70" name="Obrázek 47" descr="C:\Users\VTI\AppData\Local\Microsoft\Windows\INetCache\Content.Outlook\LXBQQKOP\Lifetime charts of VTI UV-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ázek 47" descr="C:\Users\VTI\AppData\Local\Microsoft\Windows\INetCache\Content.Outlook\LXBQQKOP\Lifetime charts of VTI UV-C.png"/>
                    <pic:cNvPicPr>
                      <a:picLocks noChangeAspect="1" noChangeArrowheads="1"/>
                    </pic:cNvPicPr>
                  </pic:nvPicPr>
                  <pic:blipFill>
                    <a:blip r:embed="rId118"/>
                    <a:stretch>
                      <a:fillRect/>
                    </a:stretch>
                  </pic:blipFill>
                  <pic:spPr bwMode="auto">
                    <a:xfrm>
                      <a:off x="0" y="0"/>
                      <a:ext cx="6327775" cy="3679825"/>
                    </a:xfrm>
                    <a:prstGeom prst="rect">
                      <a:avLst/>
                    </a:prstGeom>
                  </pic:spPr>
                </pic:pic>
              </a:graphicData>
            </a:graphic>
          </wp:inline>
        </w:drawing>
      </w:r>
    </w:p>
    <w:p w:rsidR="00287B1D" w:rsidRDefault="00BB6CB9">
      <w:pPr>
        <w:ind w:left="-426"/>
        <w:jc w:val="center"/>
        <w:rPr>
          <w:sz w:val="14"/>
          <w:szCs w:val="14"/>
        </w:rPr>
      </w:pPr>
      <w:proofErr w:type="gramStart"/>
      <w:r>
        <w:rPr>
          <w:sz w:val="14"/>
          <w:szCs w:val="14"/>
        </w:rPr>
        <w:t>Obr.13</w:t>
      </w:r>
      <w:proofErr w:type="gramEnd"/>
      <w:r>
        <w:rPr>
          <w:sz w:val="14"/>
          <w:szCs w:val="14"/>
        </w:rPr>
        <w:t xml:space="preserve">; </w:t>
      </w:r>
      <w:proofErr w:type="gramStart"/>
      <w:r>
        <w:rPr>
          <w:sz w:val="14"/>
          <w:szCs w:val="14"/>
        </w:rPr>
        <w:t>Graf.6 Životnost</w:t>
      </w:r>
      <w:proofErr w:type="gramEnd"/>
      <w:r>
        <w:rPr>
          <w:sz w:val="14"/>
          <w:szCs w:val="14"/>
        </w:rPr>
        <w:t xml:space="preserve"> a účinnost  UV-C LED v letech, v závislosti na denním průtoku ošetřované vody</w:t>
      </w:r>
    </w:p>
    <w:p w:rsidR="00287B1D" w:rsidRDefault="00BB6CB9">
      <w:pPr>
        <w:spacing w:after="0" w:line="240" w:lineRule="auto"/>
        <w:ind w:left="-426" w:firstLine="284"/>
      </w:pPr>
      <w:r>
        <w:rPr>
          <w:noProof/>
          <w:lang w:eastAsia="cs-CZ"/>
        </w:rPr>
        <w:lastRenderedPageBreak/>
        <w:drawing>
          <wp:inline distT="0" distB="0" distL="0" distR="0">
            <wp:extent cx="5848350" cy="3284855"/>
            <wp:effectExtent l="0" t="0" r="0" b="0"/>
            <wp:docPr id="71" name="Obrázek 58" descr="C:\Users\VTI\AppData\Local\Microsoft\Windows\INetCache\Content.Outlook\XK38IIY7\UV-C 7. str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ázek 58" descr="C:\Users\VTI\AppData\Local\Microsoft\Windows\INetCache\Content.Outlook\XK38IIY7\UV-C 7. strana.png"/>
                    <pic:cNvPicPr>
                      <a:picLocks noChangeAspect="1" noChangeArrowheads="1"/>
                    </pic:cNvPicPr>
                  </pic:nvPicPr>
                  <pic:blipFill>
                    <a:blip r:embed="rId119"/>
                    <a:stretch>
                      <a:fillRect/>
                    </a:stretch>
                  </pic:blipFill>
                  <pic:spPr bwMode="auto">
                    <a:xfrm>
                      <a:off x="0" y="0"/>
                      <a:ext cx="5848350" cy="3284855"/>
                    </a:xfrm>
                    <a:prstGeom prst="rect">
                      <a:avLst/>
                    </a:prstGeom>
                  </pic:spPr>
                </pic:pic>
              </a:graphicData>
            </a:graphic>
          </wp:inline>
        </w:drawing>
      </w:r>
    </w:p>
    <w:p w:rsidR="00287B1D" w:rsidRDefault="00287B1D">
      <w:pPr>
        <w:spacing w:after="0" w:line="240" w:lineRule="auto"/>
        <w:ind w:left="-426"/>
      </w:pPr>
    </w:p>
    <w:p w:rsidR="00287B1D" w:rsidRDefault="00BB6CB9">
      <w:pPr>
        <w:spacing w:after="0" w:line="240" w:lineRule="auto"/>
        <w:ind w:left="-426"/>
        <w:jc w:val="center"/>
        <w:rPr>
          <w:sz w:val="14"/>
          <w:szCs w:val="14"/>
        </w:rPr>
      </w:pPr>
      <w:proofErr w:type="gramStart"/>
      <w:r>
        <w:rPr>
          <w:sz w:val="14"/>
          <w:szCs w:val="14"/>
        </w:rPr>
        <w:t>Obr.14</w:t>
      </w:r>
      <w:proofErr w:type="gramEnd"/>
      <w:r>
        <w:rPr>
          <w:sz w:val="14"/>
          <w:szCs w:val="14"/>
        </w:rPr>
        <w:t xml:space="preserve">; </w:t>
      </w:r>
      <w:proofErr w:type="gramStart"/>
      <w:r>
        <w:rPr>
          <w:sz w:val="14"/>
          <w:szCs w:val="14"/>
        </w:rPr>
        <w:t>Tab.1 Vylepšené</w:t>
      </w:r>
      <w:proofErr w:type="gramEnd"/>
      <w:r>
        <w:rPr>
          <w:sz w:val="14"/>
          <w:szCs w:val="14"/>
        </w:rPr>
        <w:t xml:space="preserve"> dezinfekční vlastnosti a spolehlivost díky technologii UV-C LED (se středem 265 nm)</w:t>
      </w:r>
    </w:p>
    <w:p w:rsidR="00287B1D" w:rsidRDefault="00287B1D">
      <w:pPr>
        <w:spacing w:after="0" w:line="240" w:lineRule="auto"/>
        <w:ind w:left="-426"/>
        <w:jc w:val="center"/>
        <w:rPr>
          <w:sz w:val="14"/>
          <w:szCs w:val="14"/>
        </w:rPr>
      </w:pPr>
    </w:p>
    <w:p w:rsidR="00287B1D" w:rsidRDefault="00BB6CB9">
      <w:pPr>
        <w:spacing w:after="0"/>
        <w:ind w:left="-426"/>
        <w:rPr>
          <w:sz w:val="11"/>
          <w:szCs w:val="11"/>
        </w:rPr>
      </w:pPr>
      <w:r>
        <w:rPr>
          <w:sz w:val="11"/>
          <w:szCs w:val="11"/>
        </w:rPr>
        <w:t>Seznam mikrobů s odpovídajícími korekčními faktory absorpce při různých vlnových délkách UV záření</w:t>
      </w:r>
    </w:p>
    <w:p w:rsidR="00287B1D" w:rsidRDefault="00BB6CB9">
      <w:pPr>
        <w:spacing w:after="0"/>
        <w:ind w:left="-426"/>
        <w:rPr>
          <w:sz w:val="11"/>
          <w:szCs w:val="11"/>
        </w:rPr>
      </w:pPr>
      <w:r>
        <w:rPr>
          <w:sz w:val="11"/>
          <w:szCs w:val="11"/>
        </w:rPr>
        <w:t>Maximální absorpce pro mikroby je mezi 260 nm a 270 nm</w:t>
      </w:r>
    </w:p>
    <w:p w:rsidR="00287B1D" w:rsidRDefault="00BB6CB9">
      <w:pPr>
        <w:spacing w:after="0"/>
        <w:ind w:left="-426"/>
        <w:rPr>
          <w:sz w:val="11"/>
          <w:szCs w:val="11"/>
        </w:rPr>
      </w:pPr>
      <w:r>
        <w:rPr>
          <w:sz w:val="11"/>
          <w:szCs w:val="11"/>
        </w:rPr>
        <w:t>• Vlnová délka ovlivňuje germicidní účinnost, proto by produkty měly být navrženy podle nejvyšších specifikací (tj. Nejnižší germicidní účinnost)</w:t>
      </w:r>
    </w:p>
    <w:p w:rsidR="00287B1D" w:rsidRDefault="00BB6CB9">
      <w:pPr>
        <w:spacing w:after="0"/>
        <w:ind w:left="-426"/>
        <w:rPr>
          <w:sz w:val="11"/>
          <w:szCs w:val="11"/>
        </w:rPr>
      </w:pPr>
      <w:r>
        <w:rPr>
          <w:sz w:val="11"/>
          <w:szCs w:val="11"/>
        </w:rPr>
        <w:t>• UVC LED diody o 265 nm poskytují konzistentní, spolehlivý výkon, snižující nejistotu po celou dobu životnosti produktu</w:t>
      </w:r>
    </w:p>
    <w:p w:rsidR="00287B1D" w:rsidRDefault="00287B1D">
      <w:pPr>
        <w:spacing w:after="0"/>
        <w:ind w:left="-426"/>
        <w:rPr>
          <w:sz w:val="11"/>
          <w:szCs w:val="11"/>
        </w:rPr>
      </w:pPr>
    </w:p>
    <w:p w:rsidR="00287B1D" w:rsidRDefault="00287B1D">
      <w:pPr>
        <w:spacing w:after="0"/>
        <w:ind w:left="-426"/>
        <w:rPr>
          <w:sz w:val="11"/>
          <w:szCs w:val="11"/>
        </w:rPr>
      </w:pPr>
    </w:p>
    <w:p w:rsidR="00287B1D" w:rsidRDefault="00BB6CB9">
      <w:pPr>
        <w:ind w:left="-426"/>
      </w:pPr>
      <w:r>
        <w:rPr>
          <w:noProof/>
          <w:lang w:eastAsia="cs-CZ"/>
        </w:rPr>
        <w:drawing>
          <wp:inline distT="0" distB="0" distL="0" distR="0">
            <wp:extent cx="6330950" cy="3644900"/>
            <wp:effectExtent l="0" t="0" r="0" b="0"/>
            <wp:docPr id="72" name="Obrázek 36" descr="C:\Users\admin\AppData\Local\Microsoft\Windows\INetCache\Content.Outlook\CM2G4B07\Impact of Source Water Quality on UVT - UV-C V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ázek 36" descr="C:\Users\admin\AppData\Local\Microsoft\Windows\INetCache\Content.Outlook\CM2G4B07\Impact of Source Water Quality on UVT - UV-C VTI.png"/>
                    <pic:cNvPicPr>
                      <a:picLocks noChangeAspect="1" noChangeArrowheads="1"/>
                    </pic:cNvPicPr>
                  </pic:nvPicPr>
                  <pic:blipFill>
                    <a:blip r:embed="rId120"/>
                    <a:stretch>
                      <a:fillRect/>
                    </a:stretch>
                  </pic:blipFill>
                  <pic:spPr bwMode="auto">
                    <a:xfrm>
                      <a:off x="0" y="0"/>
                      <a:ext cx="6330950" cy="3644900"/>
                    </a:xfrm>
                    <a:prstGeom prst="rect">
                      <a:avLst/>
                    </a:prstGeom>
                  </pic:spPr>
                </pic:pic>
              </a:graphicData>
            </a:graphic>
          </wp:inline>
        </w:drawing>
      </w:r>
    </w:p>
    <w:p w:rsidR="00287B1D" w:rsidRDefault="00BB6CB9">
      <w:pPr>
        <w:ind w:left="-426"/>
        <w:jc w:val="center"/>
        <w:rPr>
          <w:sz w:val="14"/>
          <w:szCs w:val="14"/>
        </w:rPr>
      </w:pPr>
      <w:proofErr w:type="gramStart"/>
      <w:r>
        <w:rPr>
          <w:sz w:val="14"/>
          <w:szCs w:val="14"/>
        </w:rPr>
        <w:t>Obr.15</w:t>
      </w:r>
      <w:proofErr w:type="gramEnd"/>
      <w:r>
        <w:rPr>
          <w:sz w:val="14"/>
          <w:szCs w:val="14"/>
        </w:rPr>
        <w:t xml:space="preserve">; </w:t>
      </w:r>
      <w:proofErr w:type="gramStart"/>
      <w:r>
        <w:rPr>
          <w:sz w:val="14"/>
          <w:szCs w:val="14"/>
        </w:rPr>
        <w:t>Graf.7  Intenzita</w:t>
      </w:r>
      <w:proofErr w:type="gramEnd"/>
      <w:r>
        <w:rPr>
          <w:sz w:val="14"/>
          <w:szCs w:val="14"/>
        </w:rPr>
        <w:t xml:space="preserve"> absorpce  u E. Coli, v technologii AQ3 Mini pro různé typy vod</w:t>
      </w:r>
    </w:p>
    <w:p w:rsidR="00287B1D" w:rsidRDefault="00287B1D">
      <w:pPr>
        <w:ind w:left="-426"/>
        <w:jc w:val="center"/>
        <w:rPr>
          <w:sz w:val="14"/>
          <w:szCs w:val="14"/>
        </w:rPr>
      </w:pPr>
    </w:p>
    <w:p w:rsidR="00287B1D" w:rsidRDefault="00287B1D">
      <w:pPr>
        <w:ind w:left="-426"/>
        <w:jc w:val="center"/>
        <w:rPr>
          <w:sz w:val="14"/>
          <w:szCs w:val="14"/>
        </w:rPr>
      </w:pPr>
    </w:p>
    <w:p w:rsidR="00287B1D" w:rsidRDefault="00BB6CB9">
      <w:pPr>
        <w:ind w:left="-426"/>
      </w:pPr>
      <w:r>
        <w:rPr>
          <w:noProof/>
          <w:lang w:eastAsia="cs-CZ"/>
        </w:rPr>
        <w:drawing>
          <wp:inline distT="0" distB="0" distL="0" distR="0">
            <wp:extent cx="6321425" cy="2574290"/>
            <wp:effectExtent l="0" t="0" r="0" b="0"/>
            <wp:docPr id="73"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ázek 48"/>
                    <pic:cNvPicPr>
                      <a:picLocks noChangeAspect="1" noChangeArrowheads="1"/>
                    </pic:cNvPicPr>
                  </pic:nvPicPr>
                  <pic:blipFill>
                    <a:blip r:embed="rId121"/>
                    <a:stretch>
                      <a:fillRect/>
                    </a:stretch>
                  </pic:blipFill>
                  <pic:spPr bwMode="auto">
                    <a:xfrm>
                      <a:off x="0" y="0"/>
                      <a:ext cx="6321425" cy="2574290"/>
                    </a:xfrm>
                    <a:prstGeom prst="rect">
                      <a:avLst/>
                    </a:prstGeom>
                  </pic:spPr>
                </pic:pic>
              </a:graphicData>
            </a:graphic>
          </wp:inline>
        </w:drawing>
      </w:r>
    </w:p>
    <w:p w:rsidR="00287B1D" w:rsidRDefault="00BB6CB9">
      <w:pPr>
        <w:ind w:left="-426" w:right="425"/>
        <w:rPr>
          <w:sz w:val="14"/>
          <w:szCs w:val="14"/>
        </w:rPr>
      </w:pPr>
      <w:proofErr w:type="gramStart"/>
      <w:r>
        <w:rPr>
          <w:sz w:val="14"/>
          <w:szCs w:val="14"/>
        </w:rPr>
        <w:t>Obr.16</w:t>
      </w:r>
      <w:proofErr w:type="gramEnd"/>
      <w:r>
        <w:rPr>
          <w:sz w:val="14"/>
          <w:szCs w:val="14"/>
        </w:rPr>
        <w:t xml:space="preserve">; </w:t>
      </w:r>
      <w:proofErr w:type="gramStart"/>
      <w:r>
        <w:rPr>
          <w:sz w:val="14"/>
          <w:szCs w:val="14"/>
        </w:rPr>
        <w:t>Graf.8  2</w:t>
      </w:r>
      <w:proofErr w:type="gramEnd"/>
      <w:r>
        <w:rPr>
          <w:sz w:val="14"/>
          <w:szCs w:val="14"/>
        </w:rPr>
        <w:t xml:space="preserve"> Log Redukce (LRV) (log10 (N0/Nx)) mikroorganismů v reakci na UV záření z 265 nm UV LED při průtoku reaktorem.     (Symbol ^ označuje větší než hodnotu uvedenou)</w:t>
      </w:r>
    </w:p>
    <w:p w:rsidR="00287B1D" w:rsidRDefault="00BB6CB9">
      <w:pPr>
        <w:ind w:left="-426" w:right="425"/>
        <w:jc w:val="both"/>
        <w:rPr>
          <w:sz w:val="18"/>
          <w:szCs w:val="18"/>
        </w:rPr>
      </w:pPr>
      <w:r>
        <w:rPr>
          <w:color w:val="51514F"/>
          <w:sz w:val="18"/>
          <w:szCs w:val="18"/>
          <w:shd w:val="clear" w:color="auto" w:fill="FFFFFF"/>
        </w:rPr>
        <w:t xml:space="preserve">Vodní prostředí patří mezi přirozená místa výskytu mikroorganismů, z nichž bakterie patří mezi nejpočetnější skupinu. Výskyt bakterií </w:t>
      </w:r>
      <w:r>
        <w:rPr>
          <w:color w:val="FF0000"/>
          <w:sz w:val="18"/>
          <w:szCs w:val="18"/>
          <w:shd w:val="clear" w:color="auto" w:fill="FFFFFF"/>
        </w:rPr>
        <w:t xml:space="preserve">ve vodě </w:t>
      </w:r>
      <w:r>
        <w:rPr>
          <w:color w:val="51514F"/>
          <w:sz w:val="18"/>
          <w:szCs w:val="18"/>
          <w:shd w:val="clear" w:color="auto" w:fill="FFFFFF"/>
        </w:rPr>
        <w:t xml:space="preserve">je častý problém zejména u studní nacházející se blízko polí, hnojišť, či neuzavřených septiků. Bakterie však můžeme najít i v již </w:t>
      </w:r>
      <w:r>
        <w:rPr>
          <w:color w:val="FF0000"/>
          <w:sz w:val="18"/>
          <w:szCs w:val="18"/>
          <w:shd w:val="clear" w:color="auto" w:fill="FFFFFF"/>
        </w:rPr>
        <w:t>upravené pitné vodě</w:t>
      </w:r>
      <w:r>
        <w:rPr>
          <w:color w:val="51514F"/>
          <w:sz w:val="18"/>
          <w:szCs w:val="18"/>
          <w:shd w:val="clear" w:color="auto" w:fill="FFFFFF"/>
        </w:rPr>
        <w:t>. Nejčastěji najdeme ve vodě koliformní bakterie a bakterie druhu Legionella.</w:t>
      </w:r>
    </w:p>
    <w:p w:rsidR="00287B1D" w:rsidRDefault="00287B1D">
      <w:pPr>
        <w:ind w:left="-426" w:right="425"/>
        <w:rPr>
          <w:sz w:val="14"/>
          <w:szCs w:val="14"/>
        </w:rPr>
      </w:pPr>
    </w:p>
    <w:p w:rsidR="00287B1D" w:rsidRDefault="00287B1D">
      <w:pPr>
        <w:ind w:left="-426" w:right="425"/>
        <w:rPr>
          <w:sz w:val="14"/>
          <w:szCs w:val="14"/>
        </w:rPr>
      </w:pPr>
    </w:p>
    <w:p w:rsidR="00287B1D" w:rsidRDefault="00287B1D">
      <w:pPr>
        <w:ind w:left="-426" w:right="425"/>
        <w:rPr>
          <w:sz w:val="14"/>
          <w:szCs w:val="14"/>
        </w:rPr>
      </w:pPr>
    </w:p>
    <w:p w:rsidR="00287B1D" w:rsidRDefault="00BB6CB9">
      <w:pPr>
        <w:ind w:left="-426" w:right="425"/>
        <w:jc w:val="center"/>
        <w:rPr>
          <w:b/>
          <w:sz w:val="18"/>
          <w:szCs w:val="18"/>
        </w:rPr>
      </w:pPr>
      <w:r>
        <w:rPr>
          <w:b/>
          <w:sz w:val="18"/>
          <w:szCs w:val="18"/>
        </w:rPr>
        <w:t>Koliformní bakterie</w:t>
      </w:r>
    </w:p>
    <w:p w:rsidR="00287B1D" w:rsidRDefault="00BB6CB9">
      <w:pPr>
        <w:shd w:val="clear" w:color="auto" w:fill="FFFFFF"/>
        <w:spacing w:after="345" w:line="240" w:lineRule="auto"/>
        <w:ind w:right="150"/>
        <w:jc w:val="both"/>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 xml:space="preserve">Koliformní bakterie, z nichž nejčastějším zástupcem je </w:t>
      </w:r>
      <w:r>
        <w:rPr>
          <w:rFonts w:eastAsia="Times New Roman" w:cs="Times New Roman"/>
          <w:b/>
          <w:color w:val="51514F"/>
          <w:sz w:val="18"/>
          <w:szCs w:val="18"/>
          <w:lang w:eastAsia="cs-CZ"/>
        </w:rPr>
        <w:t>Escherichia coli</w:t>
      </w:r>
      <w:r>
        <w:rPr>
          <w:rFonts w:eastAsia="Times New Roman" w:cs="Times New Roman"/>
          <w:color w:val="51514F"/>
          <w:sz w:val="18"/>
          <w:szCs w:val="18"/>
          <w:lang w:eastAsia="cs-CZ"/>
        </w:rPr>
        <w:t xml:space="preserve">, obývají střeva lidí a jiných živočichů. Odtud se skrze výkaly může dostat až do </w:t>
      </w:r>
      <w:r>
        <w:rPr>
          <w:rFonts w:eastAsia="Times New Roman" w:cs="Times New Roman"/>
          <w:color w:val="FF0000"/>
          <w:sz w:val="18"/>
          <w:szCs w:val="18"/>
          <w:lang w:eastAsia="cs-CZ"/>
        </w:rPr>
        <w:t>zdrojů vody</w:t>
      </w:r>
      <w:r>
        <w:rPr>
          <w:rFonts w:eastAsia="Times New Roman" w:cs="Times New Roman"/>
          <w:color w:val="51514F"/>
          <w:sz w:val="18"/>
          <w:szCs w:val="18"/>
          <w:lang w:eastAsia="cs-CZ"/>
        </w:rPr>
        <w:t xml:space="preserve">. Koliformní bakterie jsou zde takzvaným indikátorem fekálního znečištění. Nejenže jsou samy o sobě škodlivé, mohou je provázet jiné škodlivé látky a mikroorganismy. K likvidaci bakterií slouží dezinfekční prostředky schválené k tomuto použití. Při dodržení postupu použití jsou bakterie spolehlivě zlikvidovány a není nijak negativně ovlivněna kvalita vody (zápach, pachuť, zdravotní závadnost). Dezinfekce pomocí UVC LED lampy je řízená průtokoměrem se startovacím časem v ms. Lampa zabíjí jen ty mikroorganismy, které skrze ni protékají unášené vodou. Pokud nějaké bakterie sídlí v rozvodech za lampou, nemá na ně lampa žádný účinek. K tomu ale slouží </w:t>
      </w:r>
      <w:proofErr w:type="gramStart"/>
      <w:r>
        <w:rPr>
          <w:rFonts w:eastAsia="Times New Roman" w:cs="Times New Roman"/>
          <w:color w:val="51514F"/>
          <w:sz w:val="18"/>
          <w:szCs w:val="18"/>
          <w:lang w:eastAsia="cs-CZ"/>
        </w:rPr>
        <w:t>desinfekce  filtračního</w:t>
      </w:r>
      <w:proofErr w:type="gramEnd"/>
      <w:r>
        <w:rPr>
          <w:rFonts w:eastAsia="Times New Roman" w:cs="Times New Roman"/>
          <w:color w:val="51514F"/>
          <w:sz w:val="18"/>
          <w:szCs w:val="18"/>
          <w:lang w:eastAsia="cs-CZ"/>
        </w:rPr>
        <w:t xml:space="preserve"> systému pomocí Peroxidu vodíku, který systém za lampou spolehlivě a trvale vydesinfikuje. Výhodou UV lampy pak je, že se do vody nedávkují žádné chemické látky a nemění se její složení, což může být pro některé uživatele důležité.</w:t>
      </w:r>
    </w:p>
    <w:p w:rsidR="00287B1D" w:rsidRDefault="00BB6CB9">
      <w:pPr>
        <w:shd w:val="clear" w:color="auto" w:fill="FFFFFF"/>
        <w:spacing w:after="0" w:line="240" w:lineRule="auto"/>
        <w:textAlignment w:val="baseline"/>
        <w:rPr>
          <w:rFonts w:eastAsia="Times New Roman" w:cs="Times New Roman"/>
          <w:color w:val="0079AD"/>
          <w:sz w:val="18"/>
          <w:szCs w:val="18"/>
          <w:lang w:eastAsia="cs-CZ"/>
        </w:rPr>
      </w:pPr>
      <w:r>
        <w:rPr>
          <w:rFonts w:eastAsia="Times New Roman" w:cs="Times New Roman"/>
          <w:color w:val="0079AD"/>
          <w:sz w:val="18"/>
          <w:szCs w:val="18"/>
          <w:lang w:eastAsia="cs-CZ"/>
        </w:rPr>
        <w:t>Jak se projevují</w:t>
      </w:r>
    </w:p>
    <w:p w:rsidR="00287B1D" w:rsidRDefault="00BB6CB9">
      <w:pPr>
        <w:numPr>
          <w:ilvl w:val="0"/>
          <w:numId w:val="22"/>
        </w:numPr>
        <w:shd w:val="clear" w:color="auto" w:fill="FFFFFF"/>
        <w:spacing w:before="165" w:after="0" w:line="240" w:lineRule="auto"/>
        <w:ind w:left="165" w:right="165"/>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Extrémní množství doprovází zákal, zápach a pachuť</w:t>
      </w:r>
    </w:p>
    <w:p w:rsidR="00287B1D" w:rsidRDefault="00BB6CB9">
      <w:pPr>
        <w:numPr>
          <w:ilvl w:val="0"/>
          <w:numId w:val="22"/>
        </w:numPr>
        <w:shd w:val="clear" w:color="auto" w:fill="FFFFFF"/>
        <w:spacing w:before="165" w:after="0" w:line="240" w:lineRule="auto"/>
        <w:ind w:left="165" w:right="165"/>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Při běžném množství jsou nepostřehnutelné</w:t>
      </w:r>
    </w:p>
    <w:p w:rsidR="00287B1D" w:rsidRDefault="00287B1D">
      <w:pPr>
        <w:shd w:val="clear" w:color="auto" w:fill="FFFFFF"/>
        <w:spacing w:after="0" w:line="240" w:lineRule="auto"/>
        <w:textAlignment w:val="baseline"/>
        <w:rPr>
          <w:rFonts w:eastAsia="Times New Roman" w:cs="Times New Roman"/>
          <w:color w:val="0079AD"/>
          <w:sz w:val="18"/>
          <w:szCs w:val="18"/>
          <w:lang w:eastAsia="cs-CZ"/>
        </w:rPr>
      </w:pPr>
    </w:p>
    <w:p w:rsidR="00287B1D" w:rsidRDefault="00BB6CB9">
      <w:pPr>
        <w:shd w:val="clear" w:color="auto" w:fill="FFFFFF"/>
        <w:spacing w:after="0" w:line="240" w:lineRule="auto"/>
        <w:textAlignment w:val="baseline"/>
        <w:rPr>
          <w:rFonts w:eastAsia="Times New Roman" w:cs="Times New Roman"/>
          <w:color w:val="0079AD"/>
          <w:sz w:val="18"/>
          <w:szCs w:val="18"/>
          <w:lang w:eastAsia="cs-CZ"/>
        </w:rPr>
      </w:pPr>
      <w:r>
        <w:rPr>
          <w:rFonts w:eastAsia="Times New Roman" w:cs="Times New Roman"/>
          <w:color w:val="0079AD"/>
          <w:sz w:val="18"/>
          <w:szCs w:val="18"/>
          <w:lang w:eastAsia="cs-CZ"/>
        </w:rPr>
        <w:t>Jaká jsou rizika</w:t>
      </w:r>
    </w:p>
    <w:p w:rsidR="00287B1D" w:rsidRDefault="00BB6CB9">
      <w:pPr>
        <w:numPr>
          <w:ilvl w:val="0"/>
          <w:numId w:val="23"/>
        </w:numPr>
        <w:shd w:val="clear" w:color="auto" w:fill="FFFFFF"/>
        <w:spacing w:before="165" w:after="0" w:line="240" w:lineRule="auto"/>
        <w:ind w:left="165" w:right="165"/>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Způsobují nevolnosti, průjmy a zvracení</w:t>
      </w:r>
    </w:p>
    <w:p w:rsidR="00287B1D" w:rsidRDefault="00287B1D">
      <w:pPr>
        <w:shd w:val="clear" w:color="auto" w:fill="FFFFFF"/>
        <w:spacing w:after="345" w:line="240" w:lineRule="auto"/>
        <w:ind w:right="150"/>
        <w:jc w:val="both"/>
        <w:textAlignment w:val="baseline"/>
        <w:rPr>
          <w:rFonts w:eastAsia="Times New Roman" w:cs="Times New Roman"/>
          <w:color w:val="51514F"/>
          <w:sz w:val="18"/>
          <w:szCs w:val="18"/>
          <w:lang w:eastAsia="cs-CZ"/>
        </w:rPr>
      </w:pPr>
    </w:p>
    <w:p w:rsidR="00287B1D" w:rsidRDefault="00287B1D">
      <w:pPr>
        <w:ind w:left="-426" w:right="425"/>
        <w:rPr>
          <w:sz w:val="14"/>
          <w:szCs w:val="14"/>
        </w:rPr>
      </w:pPr>
    </w:p>
    <w:p w:rsidR="00287B1D" w:rsidRDefault="00BB6CB9">
      <w:r>
        <w:rPr>
          <w:noProof/>
          <w:lang w:eastAsia="cs-CZ"/>
        </w:rPr>
        <w:lastRenderedPageBreak/>
        <w:drawing>
          <wp:anchor distT="0" distB="0" distL="114300" distR="114300" simplePos="0" relativeHeight="61" behindDoc="0" locked="0" layoutInCell="1" allowOverlap="1">
            <wp:simplePos x="0" y="0"/>
            <wp:positionH relativeFrom="column">
              <wp:posOffset>3913505</wp:posOffset>
            </wp:positionH>
            <wp:positionV relativeFrom="paragraph">
              <wp:posOffset>168910</wp:posOffset>
            </wp:positionV>
            <wp:extent cx="1986280" cy="1022985"/>
            <wp:effectExtent l="0" t="0" r="0" b="0"/>
            <wp:wrapSquare wrapText="bothSides"/>
            <wp:docPr id="74"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ázek 5"/>
                    <pic:cNvPicPr>
                      <a:picLocks noChangeAspect="1" noChangeArrowheads="1"/>
                    </pic:cNvPicPr>
                  </pic:nvPicPr>
                  <pic:blipFill>
                    <a:blip r:embed="rId122"/>
                    <a:stretch>
                      <a:fillRect/>
                    </a:stretch>
                  </pic:blipFill>
                  <pic:spPr bwMode="auto">
                    <a:xfrm>
                      <a:off x="0" y="0"/>
                      <a:ext cx="1986280" cy="1022985"/>
                    </a:xfrm>
                    <a:prstGeom prst="rect">
                      <a:avLst/>
                    </a:prstGeom>
                  </pic:spPr>
                </pic:pic>
              </a:graphicData>
            </a:graphic>
          </wp:anchor>
        </w:drawing>
      </w:r>
      <w:r>
        <w:rPr>
          <w:noProof/>
          <w:lang w:eastAsia="cs-CZ"/>
        </w:rPr>
        <w:drawing>
          <wp:inline distT="0" distB="0" distL="0" distR="0">
            <wp:extent cx="2066925" cy="1377950"/>
            <wp:effectExtent l="0" t="0" r="0" b="0"/>
            <wp:docPr id="7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ázek 1"/>
                    <pic:cNvPicPr>
                      <a:picLocks noChangeAspect="1" noChangeArrowheads="1"/>
                    </pic:cNvPicPr>
                  </pic:nvPicPr>
                  <pic:blipFill>
                    <a:blip r:embed="rId123"/>
                    <a:stretch>
                      <a:fillRect/>
                    </a:stretch>
                  </pic:blipFill>
                  <pic:spPr bwMode="auto">
                    <a:xfrm>
                      <a:off x="0" y="0"/>
                      <a:ext cx="2066925" cy="1377950"/>
                    </a:xfrm>
                    <a:prstGeom prst="rect">
                      <a:avLst/>
                    </a:prstGeom>
                  </pic:spPr>
                </pic:pic>
              </a:graphicData>
            </a:graphic>
          </wp:inline>
        </w:drawing>
      </w:r>
      <w:r>
        <w:rPr>
          <w:noProof/>
          <w:lang w:eastAsia="cs-CZ"/>
        </w:rPr>
        <w:drawing>
          <wp:inline distT="0" distB="0" distL="0" distR="0">
            <wp:extent cx="1689735" cy="1238885"/>
            <wp:effectExtent l="0" t="0" r="0" b="0"/>
            <wp:docPr id="76"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rázek 3"/>
                    <pic:cNvPicPr>
                      <a:picLocks noChangeAspect="1" noChangeArrowheads="1"/>
                    </pic:cNvPicPr>
                  </pic:nvPicPr>
                  <pic:blipFill>
                    <a:blip r:embed="rId124"/>
                    <a:stretch>
                      <a:fillRect/>
                    </a:stretch>
                  </pic:blipFill>
                  <pic:spPr bwMode="auto">
                    <a:xfrm>
                      <a:off x="0" y="0"/>
                      <a:ext cx="1689735" cy="1238885"/>
                    </a:xfrm>
                    <a:prstGeom prst="rect">
                      <a:avLst/>
                    </a:prstGeom>
                  </pic:spPr>
                </pic:pic>
              </a:graphicData>
            </a:graphic>
          </wp:inline>
        </w:drawing>
      </w:r>
    </w:p>
    <w:p w:rsidR="00287B1D" w:rsidRDefault="00BB6CB9">
      <w:r>
        <w:t xml:space="preserve">          </w:t>
      </w:r>
      <w:r>
        <w:rPr>
          <w:noProof/>
          <w:lang w:eastAsia="cs-CZ"/>
        </w:rPr>
        <w:drawing>
          <wp:inline distT="0" distB="0" distL="0" distR="0">
            <wp:extent cx="1040130" cy="107950"/>
            <wp:effectExtent l="0" t="0" r="0" b="0"/>
            <wp:docPr id="77"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ázek 4"/>
                    <pic:cNvPicPr>
                      <a:picLocks noChangeAspect="1" noChangeArrowheads="1"/>
                    </pic:cNvPicPr>
                  </pic:nvPicPr>
                  <pic:blipFill>
                    <a:blip r:embed="rId125"/>
                    <a:stretch>
                      <a:fillRect/>
                    </a:stretch>
                  </pic:blipFill>
                  <pic:spPr bwMode="auto">
                    <a:xfrm>
                      <a:off x="0" y="0"/>
                      <a:ext cx="1040130" cy="107950"/>
                    </a:xfrm>
                    <a:prstGeom prst="rect">
                      <a:avLst/>
                    </a:prstGeom>
                  </pic:spPr>
                </pic:pic>
              </a:graphicData>
            </a:graphic>
          </wp:inline>
        </w:drawing>
      </w:r>
      <w:r>
        <w:tab/>
      </w:r>
    </w:p>
    <w:p w:rsidR="00287B1D" w:rsidRDefault="00287B1D"/>
    <w:p w:rsidR="00287B1D" w:rsidRDefault="00BB6CB9">
      <w:pPr>
        <w:ind w:left="-426" w:right="425"/>
        <w:jc w:val="both"/>
        <w:rPr>
          <w:sz w:val="18"/>
          <w:szCs w:val="18"/>
        </w:rPr>
      </w:pPr>
      <w:r>
        <w:rPr>
          <w:rFonts w:cs="Arial"/>
          <w:b/>
          <w:i/>
          <w:color w:val="202122"/>
          <w:sz w:val="18"/>
          <w:szCs w:val="18"/>
          <w:shd w:val="clear" w:color="auto" w:fill="FFFFFF"/>
        </w:rPr>
        <w:t>E. Coli</w:t>
      </w:r>
      <w:r>
        <w:rPr>
          <w:rFonts w:cs="Arial"/>
          <w:color w:val="202122"/>
          <w:sz w:val="18"/>
          <w:szCs w:val="18"/>
          <w:shd w:val="clear" w:color="auto" w:fill="FFFFFF"/>
        </w:rPr>
        <w:t>, je </w:t>
      </w:r>
      <w:hyperlink r:id="rId126" w:tgtFrame="Gramnegativní bakterie">
        <w:r>
          <w:rPr>
            <w:rStyle w:val="Internetovodkaz"/>
            <w:rFonts w:cs="Arial"/>
            <w:color w:val="0B0080"/>
            <w:sz w:val="18"/>
            <w:szCs w:val="18"/>
            <w:highlight w:val="white"/>
          </w:rPr>
          <w:t>gramnegativní</w:t>
        </w:r>
      </w:hyperlink>
      <w:r>
        <w:rPr>
          <w:rFonts w:cs="Arial"/>
          <w:color w:val="202122"/>
          <w:sz w:val="18"/>
          <w:szCs w:val="18"/>
          <w:shd w:val="clear" w:color="auto" w:fill="FFFFFF"/>
        </w:rPr>
        <w:t>, fakultativně </w:t>
      </w:r>
      <w:hyperlink r:id="rId127" w:tgtFrame="Anaerobní">
        <w:r>
          <w:rPr>
            <w:rStyle w:val="Internetovodkaz"/>
            <w:rFonts w:cs="Arial"/>
            <w:color w:val="0B0080"/>
            <w:sz w:val="18"/>
            <w:szCs w:val="18"/>
            <w:highlight w:val="white"/>
          </w:rPr>
          <w:t>anaerobní</w:t>
        </w:r>
      </w:hyperlink>
      <w:r>
        <w:rPr>
          <w:rFonts w:cs="Arial"/>
          <w:color w:val="202122"/>
          <w:sz w:val="18"/>
          <w:szCs w:val="18"/>
          <w:shd w:val="clear" w:color="auto" w:fill="FFFFFF"/>
        </w:rPr>
        <w:t>, </w:t>
      </w:r>
      <w:hyperlink r:id="rId128" w:tgtFrame="Spora">
        <w:r>
          <w:rPr>
            <w:rStyle w:val="Internetovodkaz"/>
            <w:rFonts w:cs="Arial"/>
            <w:color w:val="0B0080"/>
            <w:sz w:val="18"/>
            <w:szCs w:val="18"/>
            <w:highlight w:val="white"/>
          </w:rPr>
          <w:t>spory</w:t>
        </w:r>
      </w:hyperlink>
      <w:r>
        <w:rPr>
          <w:rFonts w:cs="Arial"/>
          <w:color w:val="202122"/>
          <w:sz w:val="18"/>
          <w:szCs w:val="18"/>
          <w:shd w:val="clear" w:color="auto" w:fill="FFFFFF"/>
        </w:rPr>
        <w:t> netvořící tyčinkovitá bakterie, pohybující se pomocí </w:t>
      </w:r>
      <w:hyperlink r:id="rId129" w:tgtFrame="Bičík">
        <w:r>
          <w:rPr>
            <w:rStyle w:val="Internetovodkaz"/>
            <w:rFonts w:cs="Arial"/>
            <w:color w:val="0B0080"/>
            <w:sz w:val="18"/>
            <w:szCs w:val="18"/>
            <w:highlight w:val="white"/>
          </w:rPr>
          <w:t>bičíků</w:t>
        </w:r>
      </w:hyperlink>
      <w:r>
        <w:rPr>
          <w:rFonts w:cs="Arial"/>
          <w:color w:val="202122"/>
          <w:sz w:val="18"/>
          <w:szCs w:val="18"/>
          <w:shd w:val="clear" w:color="auto" w:fill="FFFFFF"/>
        </w:rPr>
        <w:t>. Náleží do čeledi </w:t>
      </w:r>
      <w:hyperlink r:id="rId130" w:tgtFrame="Enterobacteriaceae">
        <w:r>
          <w:rPr>
            <w:rStyle w:val="Internetovodkaz"/>
            <w:rFonts w:cs="Arial"/>
            <w:i/>
            <w:iCs/>
            <w:color w:val="0B0080"/>
            <w:sz w:val="18"/>
            <w:szCs w:val="18"/>
            <w:highlight w:val="white"/>
          </w:rPr>
          <w:t>Enterobacteriaceae</w:t>
        </w:r>
      </w:hyperlink>
      <w:r>
        <w:rPr>
          <w:rFonts w:cs="Arial"/>
          <w:color w:val="202122"/>
          <w:sz w:val="18"/>
          <w:szCs w:val="18"/>
          <w:shd w:val="clear" w:color="auto" w:fill="FFFFFF"/>
        </w:rPr>
        <w:t xml:space="preserve">, jež také zahrnuje </w:t>
      </w:r>
      <w:proofErr w:type="gramStart"/>
      <w:r>
        <w:rPr>
          <w:rFonts w:cs="Arial"/>
          <w:color w:val="202122"/>
          <w:sz w:val="18"/>
          <w:szCs w:val="18"/>
          <w:shd w:val="clear" w:color="auto" w:fill="FFFFFF"/>
        </w:rPr>
        <w:t>mnoho  rodů</w:t>
      </w:r>
      <w:proofErr w:type="gramEnd"/>
      <w:r>
        <w:rPr>
          <w:rFonts w:cs="Arial"/>
          <w:color w:val="202122"/>
          <w:sz w:val="18"/>
          <w:szCs w:val="18"/>
          <w:shd w:val="clear" w:color="auto" w:fill="FFFFFF"/>
        </w:rPr>
        <w:t xml:space="preserve"> </w:t>
      </w:r>
      <w:r>
        <w:rPr>
          <w:rFonts w:cs="Arial"/>
          <w:color w:val="000099"/>
          <w:sz w:val="18"/>
          <w:szCs w:val="18"/>
          <w:u w:val="single"/>
          <w:shd w:val="clear" w:color="auto" w:fill="FFFFFF"/>
        </w:rPr>
        <w:t xml:space="preserve">patogenních   </w:t>
      </w:r>
      <w:r>
        <w:rPr>
          <w:rFonts w:cs="Arial"/>
          <w:color w:val="202122"/>
          <w:sz w:val="18"/>
          <w:szCs w:val="18"/>
          <w:shd w:val="clear" w:color="auto" w:fill="FFFFFF"/>
        </w:rPr>
        <w:t xml:space="preserve"> mikroorganismů. </w:t>
      </w:r>
      <w:r>
        <w:rPr>
          <w:rFonts w:cs="Arial"/>
          <w:i/>
          <w:iCs/>
          <w:color w:val="202122"/>
          <w:sz w:val="18"/>
          <w:szCs w:val="18"/>
          <w:shd w:val="clear" w:color="auto" w:fill="FFFFFF"/>
        </w:rPr>
        <w:t xml:space="preserve">E. </w:t>
      </w:r>
      <w:proofErr w:type="gramStart"/>
      <w:r>
        <w:rPr>
          <w:rFonts w:cs="Arial"/>
          <w:i/>
          <w:iCs/>
          <w:color w:val="202122"/>
          <w:sz w:val="18"/>
          <w:szCs w:val="18"/>
          <w:shd w:val="clear" w:color="auto" w:fill="FFFFFF"/>
        </w:rPr>
        <w:t>coli</w:t>
      </w:r>
      <w:proofErr w:type="gramEnd"/>
      <w:r>
        <w:rPr>
          <w:rFonts w:cs="Arial"/>
          <w:color w:val="202122"/>
          <w:sz w:val="18"/>
          <w:szCs w:val="18"/>
          <w:shd w:val="clear" w:color="auto" w:fill="FFFFFF"/>
        </w:rPr>
        <w:t> patří ke střevní mikroflóře teplokrevných živočichů včetně člověka. Proto je její přítomnost v pitné vodě indikátorem fekálního znečištění.</w:t>
      </w:r>
      <w:r>
        <w:rPr>
          <w:sz w:val="18"/>
          <w:szCs w:val="18"/>
        </w:rPr>
        <w:tab/>
      </w:r>
    </w:p>
    <w:p w:rsidR="00287B1D" w:rsidRDefault="00BB6CB9">
      <w:pPr>
        <w:spacing w:line="240" w:lineRule="auto"/>
        <w:ind w:left="-426"/>
        <w:rPr>
          <w:rFonts w:cstheme="minorHAnsi"/>
          <w:sz w:val="14"/>
          <w:szCs w:val="14"/>
        </w:rPr>
      </w:pPr>
      <w:proofErr w:type="gramStart"/>
      <w:r>
        <w:rPr>
          <w:sz w:val="14"/>
          <w:szCs w:val="14"/>
        </w:rPr>
        <w:t>Obr.17</w:t>
      </w:r>
      <w:proofErr w:type="gramEnd"/>
      <w:r>
        <w:rPr>
          <w:sz w:val="14"/>
          <w:szCs w:val="14"/>
        </w:rPr>
        <w:t xml:space="preserve">; </w:t>
      </w:r>
      <w:proofErr w:type="gramStart"/>
      <w:r>
        <w:rPr>
          <w:sz w:val="14"/>
          <w:szCs w:val="14"/>
        </w:rPr>
        <w:t>Graf.9 Sledovaná</w:t>
      </w:r>
      <w:proofErr w:type="gramEnd"/>
      <w:r>
        <w:rPr>
          <w:sz w:val="14"/>
          <w:szCs w:val="14"/>
        </w:rPr>
        <w:t xml:space="preserve"> Escherichia Coli (E.Coli), závislost účinnosti reaktoru UV-C LED VTI v systému AQ3 Mini v grafu,  inaktivace  E.Coli             (průtok/%) a  příslušná tabulka </w:t>
      </w:r>
      <w:r>
        <w:rPr>
          <w:sz w:val="14"/>
          <w:szCs w:val="14"/>
          <w:lang w:val="en-US"/>
        </w:rPr>
        <w:t>η</w:t>
      </w:r>
      <w:r>
        <w:rPr>
          <w:sz w:val="14"/>
          <w:szCs w:val="14"/>
        </w:rPr>
        <w:t xml:space="preserve"> v %, E.Coli </w:t>
      </w:r>
      <w:r>
        <w:rPr>
          <w:rFonts w:cstheme="minorHAnsi"/>
          <w:sz w:val="14"/>
          <w:szCs w:val="14"/>
        </w:rPr>
        <w:t>vyskytující se v kontaminované vodě, AQ3 Mini   zachytí, deaktivuje</w:t>
      </w:r>
    </w:p>
    <w:p w:rsidR="00287B1D" w:rsidRDefault="00287B1D">
      <w:pPr>
        <w:ind w:left="-426" w:right="425"/>
        <w:rPr>
          <w:sz w:val="14"/>
          <w:szCs w:val="14"/>
        </w:rPr>
      </w:pPr>
    </w:p>
    <w:p w:rsidR="00287B1D" w:rsidRDefault="00287B1D">
      <w:pPr>
        <w:ind w:left="-426" w:right="425"/>
        <w:rPr>
          <w:sz w:val="14"/>
          <w:szCs w:val="14"/>
        </w:rPr>
      </w:pPr>
    </w:p>
    <w:p w:rsidR="00287B1D" w:rsidRDefault="00287B1D">
      <w:pPr>
        <w:ind w:left="-426" w:right="425"/>
        <w:rPr>
          <w:sz w:val="14"/>
          <w:szCs w:val="14"/>
        </w:rPr>
      </w:pPr>
    </w:p>
    <w:p w:rsidR="00287B1D" w:rsidRDefault="00287B1D">
      <w:pPr>
        <w:ind w:left="-426" w:right="425"/>
        <w:rPr>
          <w:sz w:val="14"/>
          <w:szCs w:val="14"/>
        </w:rPr>
      </w:pPr>
    </w:p>
    <w:p w:rsidR="00287B1D" w:rsidRDefault="00BB6CB9">
      <w:pPr>
        <w:spacing w:after="0"/>
        <w:ind w:left="-426"/>
        <w:jc w:val="center"/>
        <w:rPr>
          <w:b/>
          <w:i/>
          <w:sz w:val="18"/>
          <w:szCs w:val="18"/>
        </w:rPr>
      </w:pPr>
      <w:r>
        <w:rPr>
          <w:noProof/>
          <w:lang w:eastAsia="cs-CZ"/>
        </w:rPr>
        <w:drawing>
          <wp:inline distT="0" distB="0" distL="0" distR="0">
            <wp:extent cx="1225550" cy="1630680"/>
            <wp:effectExtent l="0" t="0" r="0" b="0"/>
            <wp:docPr id="78" name="Obrázek 117" descr="alternativní popis obrázku chyb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ázek 117" descr="alternativní popis obrázku chybí"/>
                    <pic:cNvPicPr>
                      <a:picLocks noChangeAspect="1" noChangeArrowheads="1"/>
                    </pic:cNvPicPr>
                  </pic:nvPicPr>
                  <pic:blipFill>
                    <a:blip r:embed="rId131"/>
                    <a:stretch>
                      <a:fillRect/>
                    </a:stretch>
                  </pic:blipFill>
                  <pic:spPr bwMode="auto">
                    <a:xfrm>
                      <a:off x="0" y="0"/>
                      <a:ext cx="1225550" cy="1630680"/>
                    </a:xfrm>
                    <a:prstGeom prst="rect">
                      <a:avLst/>
                    </a:prstGeom>
                  </pic:spPr>
                </pic:pic>
              </a:graphicData>
            </a:graphic>
          </wp:inline>
        </w:drawing>
      </w:r>
    </w:p>
    <w:p w:rsidR="00287B1D" w:rsidRDefault="00287B1D">
      <w:pPr>
        <w:spacing w:after="0"/>
        <w:ind w:left="-426"/>
        <w:jc w:val="both"/>
        <w:rPr>
          <w:b/>
          <w:i/>
          <w:sz w:val="18"/>
          <w:szCs w:val="18"/>
        </w:rPr>
      </w:pPr>
    </w:p>
    <w:p w:rsidR="00287B1D" w:rsidRDefault="00BB6CB9">
      <w:pPr>
        <w:spacing w:after="0"/>
        <w:ind w:left="-426"/>
        <w:jc w:val="center"/>
        <w:rPr>
          <w:sz w:val="14"/>
          <w:szCs w:val="14"/>
        </w:rPr>
      </w:pPr>
      <w:r>
        <w:rPr>
          <w:b/>
          <w:i/>
          <w:sz w:val="14"/>
          <w:szCs w:val="14"/>
        </w:rPr>
        <w:t>Campilobacter coli</w:t>
      </w:r>
      <w:r>
        <w:rPr>
          <w:sz w:val="14"/>
          <w:szCs w:val="14"/>
        </w:rPr>
        <w:t>, je rod </w:t>
      </w:r>
      <w:hyperlink r:id="rId132" w:tgtFrame="Pasterizace">
        <w:r>
          <w:rPr>
            <w:rStyle w:val="Internetovodkaz"/>
            <w:sz w:val="14"/>
            <w:szCs w:val="14"/>
          </w:rPr>
          <w:t>termofilních</w:t>
        </w:r>
      </w:hyperlink>
      <w:r>
        <w:rPr>
          <w:sz w:val="14"/>
          <w:szCs w:val="14"/>
        </w:rPr>
        <w:t>, podmíněně </w:t>
      </w:r>
      <w:hyperlink r:id="rId133">
        <w:r>
          <w:rPr>
            <w:rStyle w:val="Internetovodkaz"/>
            <w:sz w:val="14"/>
            <w:szCs w:val="14"/>
          </w:rPr>
          <w:t>patogenních bakterií</w:t>
        </w:r>
      </w:hyperlink>
      <w:r>
        <w:rPr>
          <w:sz w:val="14"/>
          <w:szCs w:val="14"/>
        </w:rPr>
        <w:t>.</w:t>
      </w:r>
    </w:p>
    <w:p w:rsidR="00287B1D" w:rsidRDefault="00287B1D">
      <w:pPr>
        <w:spacing w:after="0"/>
        <w:ind w:left="-426"/>
        <w:jc w:val="center"/>
        <w:rPr>
          <w:sz w:val="18"/>
          <w:szCs w:val="18"/>
        </w:rPr>
      </w:pPr>
    </w:p>
    <w:p w:rsidR="00287B1D" w:rsidRDefault="00BB6CB9">
      <w:pPr>
        <w:spacing w:after="0"/>
        <w:ind w:left="-426"/>
        <w:jc w:val="both"/>
        <w:rPr>
          <w:rFonts w:cs="Arial"/>
          <w:color w:val="202122"/>
          <w:sz w:val="18"/>
          <w:szCs w:val="18"/>
          <w:highlight w:val="white"/>
        </w:rPr>
      </w:pPr>
      <w:r>
        <w:rPr>
          <w:sz w:val="18"/>
          <w:szCs w:val="18"/>
        </w:rPr>
        <w:t>Rod Campylobacter zahrnuje </w:t>
      </w:r>
      <w:hyperlink r:id="rId134">
        <w:r>
          <w:rPr>
            <w:rStyle w:val="Internetovodkaz"/>
            <w:sz w:val="18"/>
            <w:szCs w:val="18"/>
          </w:rPr>
          <w:t>aerobní</w:t>
        </w:r>
      </w:hyperlink>
      <w:r>
        <w:rPr>
          <w:sz w:val="18"/>
          <w:szCs w:val="18"/>
        </w:rPr>
        <w:t> až </w:t>
      </w:r>
      <w:hyperlink r:id="rId135" w:tgtFrame="Mikroaerofilní">
        <w:r>
          <w:rPr>
            <w:rStyle w:val="Internetovodkaz"/>
            <w:sz w:val="18"/>
            <w:szCs w:val="18"/>
          </w:rPr>
          <w:t>mikroaerofilní</w:t>
        </w:r>
      </w:hyperlink>
      <w:r>
        <w:rPr>
          <w:sz w:val="18"/>
          <w:szCs w:val="18"/>
        </w:rPr>
        <w:t> pohyblivé </w:t>
      </w:r>
      <w:hyperlink r:id="rId136" w:tgtFrame="Gramnegativní">
        <w:r>
          <w:rPr>
            <w:rStyle w:val="Internetovodkaz"/>
            <w:sz w:val="18"/>
            <w:szCs w:val="18"/>
          </w:rPr>
          <w:t>gramnegativní</w:t>
        </w:r>
      </w:hyperlink>
      <w:r>
        <w:rPr>
          <w:sz w:val="18"/>
          <w:szCs w:val="18"/>
        </w:rPr>
        <w:t> bakterie. Nejznámější z rodu jsou druhy Campylobacter jejuni, C. coli a C. lari, C. fetus a C. pylori (dnes označovaný jako </w:t>
      </w:r>
      <w:hyperlink r:id="rId137" w:tgtFrame="Helicobacter pylori">
        <w:r>
          <w:rPr>
            <w:rStyle w:val="Internetovodkaz"/>
            <w:sz w:val="18"/>
            <w:szCs w:val="18"/>
          </w:rPr>
          <w:t>Helicobacter pylori</w:t>
        </w:r>
      </w:hyperlink>
      <w:r>
        <w:rPr>
          <w:sz w:val="18"/>
          <w:szCs w:val="18"/>
        </w:rPr>
        <w:t xml:space="preserve">). </w:t>
      </w:r>
      <w:r>
        <w:rPr>
          <w:rFonts w:cs="Arial"/>
          <w:color w:val="202122"/>
          <w:sz w:val="18"/>
          <w:szCs w:val="18"/>
          <w:shd w:val="clear" w:color="auto" w:fill="FFFFFF"/>
        </w:rPr>
        <w:t xml:space="preserve">Vyskytují se v trávicím </w:t>
      </w:r>
      <w:r>
        <w:rPr>
          <w:rFonts w:cs="Arial"/>
          <w:sz w:val="18"/>
          <w:szCs w:val="18"/>
          <w:shd w:val="clear" w:color="auto" w:fill="FFFFFF"/>
        </w:rPr>
        <w:t>traktu </w:t>
      </w:r>
      <w:hyperlink r:id="rId138" w:tgtFrame="Člověk">
        <w:r>
          <w:rPr>
            <w:rStyle w:val="Internetovodkaz"/>
            <w:rFonts w:cs="Arial"/>
            <w:color w:val="000000"/>
            <w:sz w:val="18"/>
            <w:szCs w:val="18"/>
            <w:highlight w:val="white"/>
            <w:u w:val="none"/>
          </w:rPr>
          <w:t>člověka</w:t>
        </w:r>
      </w:hyperlink>
      <w:r>
        <w:rPr>
          <w:rFonts w:cs="Arial"/>
          <w:color w:val="202122"/>
          <w:sz w:val="18"/>
          <w:szCs w:val="18"/>
          <w:shd w:val="clear" w:color="auto" w:fill="FFFFFF"/>
        </w:rPr>
        <w:t xml:space="preserve"> i téměř u všech domácích a u velkého počtu divoce </w:t>
      </w:r>
      <w:r>
        <w:rPr>
          <w:rFonts w:cs="Arial"/>
          <w:sz w:val="18"/>
          <w:szCs w:val="18"/>
          <w:shd w:val="clear" w:color="auto" w:fill="FFFFFF"/>
        </w:rPr>
        <w:t>žijících </w:t>
      </w:r>
      <w:hyperlink r:id="rId139" w:tgtFrame="Živočichové">
        <w:r>
          <w:rPr>
            <w:rStyle w:val="Internetovodkaz"/>
            <w:rFonts w:cs="Arial"/>
            <w:color w:val="000000"/>
            <w:sz w:val="18"/>
            <w:szCs w:val="18"/>
            <w:highlight w:val="white"/>
            <w:u w:val="none"/>
          </w:rPr>
          <w:t>zvířat</w:t>
        </w:r>
      </w:hyperlink>
      <w:r>
        <w:rPr>
          <w:rFonts w:cs="Arial"/>
          <w:color w:val="202122"/>
          <w:sz w:val="18"/>
          <w:szCs w:val="18"/>
          <w:shd w:val="clear" w:color="auto" w:fill="FFFFFF"/>
        </w:rPr>
        <w:t>. U člověka jsou patogenní invazivní kmeny kampylobakterů příčinou </w:t>
      </w:r>
      <w:hyperlink r:id="rId140" w:tgtFrame="Alimentární intoxikace (stránka neexistuje)">
        <w:r>
          <w:rPr>
            <w:rStyle w:val="Internetovodkaz"/>
            <w:rFonts w:cs="Arial"/>
            <w:color w:val="0000FF"/>
            <w:sz w:val="18"/>
            <w:szCs w:val="18"/>
            <w:highlight w:val="white"/>
          </w:rPr>
          <w:t>alimentární intoxikace</w:t>
        </w:r>
      </w:hyperlink>
      <w:r>
        <w:rPr>
          <w:rFonts w:cs="Arial"/>
          <w:color w:val="0000FF"/>
          <w:sz w:val="18"/>
          <w:szCs w:val="18"/>
          <w:shd w:val="clear" w:color="auto" w:fill="FFFFFF"/>
        </w:rPr>
        <w:t>,</w:t>
      </w:r>
      <w:r>
        <w:rPr>
          <w:rFonts w:cs="Arial"/>
          <w:color w:val="202122"/>
          <w:sz w:val="18"/>
          <w:szCs w:val="18"/>
          <w:shd w:val="clear" w:color="auto" w:fill="FFFFFF"/>
        </w:rPr>
        <w:t xml:space="preserve"> projevující se jako </w:t>
      </w:r>
      <w:hyperlink r:id="rId141" w:tgtFrame="Střevní infekce (stránka neexistuje)">
        <w:r>
          <w:rPr>
            <w:rStyle w:val="Internetovodkaz"/>
            <w:rFonts w:cs="Arial"/>
            <w:color w:val="0000FF"/>
            <w:sz w:val="18"/>
            <w:szCs w:val="18"/>
            <w:highlight w:val="white"/>
          </w:rPr>
          <w:t>střevní infekce</w:t>
        </w:r>
      </w:hyperlink>
      <w:r>
        <w:rPr>
          <w:rFonts w:cs="Arial"/>
          <w:color w:val="202122"/>
          <w:sz w:val="18"/>
          <w:szCs w:val="18"/>
          <w:shd w:val="clear" w:color="auto" w:fill="FFFFFF"/>
        </w:rPr>
        <w:t> připomínající </w:t>
      </w:r>
      <w:hyperlink r:id="rId142" w:tgtFrame="Salmonelóza">
        <w:r>
          <w:rPr>
            <w:rStyle w:val="Internetovodkaz"/>
            <w:rFonts w:cs="Arial"/>
            <w:color w:val="0645AD"/>
            <w:sz w:val="18"/>
            <w:szCs w:val="18"/>
            <w:highlight w:val="white"/>
          </w:rPr>
          <w:t>salmonelózu</w:t>
        </w:r>
      </w:hyperlink>
      <w:r>
        <w:rPr>
          <w:rFonts w:cs="Arial"/>
          <w:color w:val="202122"/>
          <w:sz w:val="18"/>
          <w:szCs w:val="18"/>
          <w:shd w:val="clear" w:color="auto" w:fill="FFFFFF"/>
        </w:rPr>
        <w:t xml:space="preserve">. Přenášejí se nepřímo kontaminovanými potravinami a </w:t>
      </w:r>
      <w:r>
        <w:rPr>
          <w:rFonts w:cs="Arial"/>
          <w:color w:val="FF0000"/>
          <w:sz w:val="18"/>
          <w:szCs w:val="18"/>
          <w:shd w:val="clear" w:color="auto" w:fill="FFFFFF"/>
        </w:rPr>
        <w:t xml:space="preserve">vodou </w:t>
      </w:r>
      <w:r>
        <w:rPr>
          <w:rFonts w:cs="Arial"/>
          <w:color w:val="202122"/>
          <w:sz w:val="18"/>
          <w:szCs w:val="18"/>
          <w:shd w:val="clear" w:color="auto" w:fill="FFFFFF"/>
        </w:rPr>
        <w:t>i přímo kontaktem. Na vzniku </w:t>
      </w:r>
      <w:hyperlink r:id="rId143" w:tgtFrame="Kampylobakterióza ptáků">
        <w:r>
          <w:rPr>
            <w:rStyle w:val="Internetovodkaz"/>
            <w:rFonts w:cs="Arial"/>
            <w:color w:val="0645AD"/>
            <w:sz w:val="18"/>
            <w:szCs w:val="18"/>
            <w:highlight w:val="white"/>
          </w:rPr>
          <w:t>kampylobakteriózy</w:t>
        </w:r>
      </w:hyperlink>
      <w:r>
        <w:rPr>
          <w:rFonts w:cs="Arial"/>
          <w:color w:val="202122"/>
          <w:sz w:val="18"/>
          <w:szCs w:val="18"/>
          <w:shd w:val="clear" w:color="auto" w:fill="FFFFFF"/>
        </w:rPr>
        <w:t> se také podílí nedostatečná </w:t>
      </w:r>
      <w:hyperlink r:id="rId144" w:tgtFrame="Hygiena">
        <w:r>
          <w:rPr>
            <w:rStyle w:val="Internetovodkaz"/>
            <w:rFonts w:cs="Arial"/>
            <w:color w:val="0645AD"/>
            <w:sz w:val="18"/>
            <w:szCs w:val="18"/>
            <w:highlight w:val="white"/>
          </w:rPr>
          <w:t>hygiena</w:t>
        </w:r>
      </w:hyperlink>
      <w:r>
        <w:rPr>
          <w:rFonts w:cs="Arial"/>
          <w:color w:val="202122"/>
          <w:sz w:val="18"/>
          <w:szCs w:val="18"/>
          <w:shd w:val="clear" w:color="auto" w:fill="FFFFFF"/>
        </w:rPr>
        <w:t> při ošetřování, chlazení a zpracovávání </w:t>
      </w:r>
      <w:hyperlink r:id="rId145" w:tgtFrame="Maso">
        <w:r>
          <w:rPr>
            <w:rStyle w:val="Internetovodkaz"/>
            <w:rFonts w:cs="Arial"/>
            <w:color w:val="0645AD"/>
            <w:sz w:val="18"/>
            <w:szCs w:val="18"/>
            <w:highlight w:val="white"/>
          </w:rPr>
          <w:t>masa</w:t>
        </w:r>
      </w:hyperlink>
      <w:r>
        <w:rPr>
          <w:rFonts w:cs="Arial"/>
          <w:color w:val="202122"/>
          <w:sz w:val="18"/>
          <w:szCs w:val="18"/>
          <w:shd w:val="clear" w:color="auto" w:fill="FFFFFF"/>
        </w:rPr>
        <w:t> v domácnostech. Kampylobaktery přežívají na potravinách skladovaných v chladničkách, částečně mohou přežít i mražení. Jsou inaktivovány teplotou nad 48 °C, takže </w:t>
      </w:r>
      <w:hyperlink r:id="rId146">
        <w:r>
          <w:rPr>
            <w:rStyle w:val="Internetovodkaz"/>
            <w:rFonts w:cs="Arial"/>
            <w:color w:val="0645AD"/>
            <w:sz w:val="18"/>
            <w:szCs w:val="18"/>
            <w:highlight w:val="white"/>
          </w:rPr>
          <w:t>pasterizaci</w:t>
        </w:r>
      </w:hyperlink>
      <w:r>
        <w:rPr>
          <w:rFonts w:cs="Arial"/>
          <w:color w:val="202122"/>
          <w:sz w:val="18"/>
          <w:szCs w:val="18"/>
          <w:shd w:val="clear" w:color="auto" w:fill="FFFFFF"/>
        </w:rPr>
        <w:t> nebo vaření v kuchyni je inaktivuje. Při manipulaci se syrovým masem je nutné dodržovat základní hygienická pravidla.</w:t>
      </w:r>
    </w:p>
    <w:p w:rsidR="00287B1D" w:rsidRDefault="00287B1D">
      <w:pPr>
        <w:spacing w:line="240" w:lineRule="auto"/>
        <w:ind w:left="-426" w:right="425"/>
        <w:rPr>
          <w:rFonts w:cstheme="minorHAnsi"/>
          <w:sz w:val="14"/>
          <w:szCs w:val="14"/>
        </w:rPr>
      </w:pPr>
    </w:p>
    <w:p w:rsidR="00287B1D" w:rsidRDefault="00BB6CB9">
      <w:pPr>
        <w:spacing w:line="240" w:lineRule="auto"/>
        <w:ind w:left="-426" w:right="425"/>
        <w:rPr>
          <w:rFonts w:cstheme="minorHAnsi"/>
          <w:sz w:val="14"/>
          <w:szCs w:val="14"/>
        </w:rPr>
      </w:pPr>
      <w:r>
        <w:rPr>
          <w:rFonts w:cstheme="minorHAnsi"/>
          <w:sz w:val="14"/>
          <w:szCs w:val="14"/>
        </w:rPr>
        <w:t xml:space="preserve">Obr.17a) Sledovaná </w:t>
      </w:r>
      <w:r>
        <w:rPr>
          <w:sz w:val="14"/>
          <w:szCs w:val="14"/>
        </w:rPr>
        <w:t>Campilobacter coli,</w:t>
      </w:r>
      <w:r>
        <w:rPr>
          <w:rFonts w:cstheme="minorHAnsi"/>
          <w:sz w:val="14"/>
          <w:szCs w:val="14"/>
        </w:rPr>
        <w:t xml:space="preserve"> vyskytující se v kontaminované vodě, AQ3 </w:t>
      </w:r>
      <w:proofErr w:type="gramStart"/>
      <w:r>
        <w:rPr>
          <w:rFonts w:cstheme="minorHAnsi"/>
          <w:sz w:val="14"/>
          <w:szCs w:val="14"/>
        </w:rPr>
        <w:t>Mini   zachytí</w:t>
      </w:r>
      <w:proofErr w:type="gramEnd"/>
      <w:r>
        <w:rPr>
          <w:rFonts w:cstheme="minorHAnsi"/>
          <w:sz w:val="14"/>
          <w:szCs w:val="14"/>
        </w:rPr>
        <w:t>, deaktivuje</w:t>
      </w:r>
    </w:p>
    <w:p w:rsidR="00287B1D" w:rsidRDefault="00BB6CB9">
      <w:pPr>
        <w:shd w:val="clear" w:color="auto" w:fill="FFFFFF"/>
        <w:spacing w:after="345" w:line="420" w:lineRule="atLeast"/>
        <w:ind w:right="150"/>
        <w:jc w:val="center"/>
        <w:textAlignment w:val="baseline"/>
        <w:rPr>
          <w:rFonts w:eastAsia="Times New Roman" w:cs="Times New Roman"/>
          <w:b/>
          <w:color w:val="51514F"/>
          <w:sz w:val="18"/>
          <w:szCs w:val="18"/>
          <w:lang w:eastAsia="cs-CZ"/>
        </w:rPr>
      </w:pPr>
      <w:r>
        <w:rPr>
          <w:rFonts w:eastAsia="Times New Roman" w:cs="Times New Roman"/>
          <w:b/>
          <w:color w:val="51514F"/>
          <w:sz w:val="18"/>
          <w:szCs w:val="18"/>
          <w:lang w:eastAsia="cs-CZ"/>
        </w:rPr>
        <w:lastRenderedPageBreak/>
        <w:t>Legionella</w:t>
      </w:r>
    </w:p>
    <w:p w:rsidR="00287B1D" w:rsidRDefault="00BB6CB9">
      <w:pPr>
        <w:shd w:val="clear" w:color="auto" w:fill="FFFFFF"/>
        <w:spacing w:after="345" w:line="240" w:lineRule="auto"/>
        <w:ind w:left="-426" w:right="150"/>
        <w:jc w:val="both"/>
        <w:textAlignment w:val="baseline"/>
        <w:rPr>
          <w:rFonts w:eastAsia="Times New Roman" w:cs="Times New Roman"/>
          <w:color w:val="51514F"/>
          <w:sz w:val="18"/>
          <w:szCs w:val="18"/>
          <w:lang w:eastAsia="cs-CZ"/>
        </w:rPr>
      </w:pPr>
      <w:r>
        <w:rPr>
          <w:rFonts w:eastAsia="Times New Roman" w:cs="Times New Roman"/>
          <w:b/>
          <w:color w:val="51514F"/>
          <w:sz w:val="18"/>
          <w:szCs w:val="18"/>
          <w:lang w:eastAsia="cs-CZ"/>
        </w:rPr>
        <w:t xml:space="preserve">Legionella </w:t>
      </w:r>
      <w:r>
        <w:rPr>
          <w:rFonts w:eastAsia="Times New Roman" w:cs="Times New Roman"/>
          <w:color w:val="51514F"/>
          <w:sz w:val="18"/>
          <w:szCs w:val="18"/>
          <w:lang w:eastAsia="cs-CZ"/>
        </w:rPr>
        <w:t xml:space="preserve">je běžně rozšířená bakterie. Může se vyskytovat prakticky </w:t>
      </w:r>
      <w:r>
        <w:rPr>
          <w:rFonts w:eastAsia="Times New Roman" w:cs="Times New Roman"/>
          <w:color w:val="FF0000"/>
          <w:sz w:val="18"/>
          <w:szCs w:val="18"/>
          <w:lang w:eastAsia="cs-CZ"/>
        </w:rPr>
        <w:t xml:space="preserve">ve všech vodách </w:t>
      </w:r>
      <w:r>
        <w:rPr>
          <w:rFonts w:eastAsia="Times New Roman" w:cs="Times New Roman"/>
          <w:color w:val="51514F"/>
          <w:sz w:val="18"/>
          <w:szCs w:val="18"/>
          <w:lang w:eastAsia="cs-CZ"/>
        </w:rPr>
        <w:t xml:space="preserve">v neškodném množství. Při teplotách 32-42°C se však začíná intenzivně množit. Legionella není škodlivá při vypití (a jelikož teplá voda není určená k pití, běžně by to ani nemělo hrozit), ale při vniknutí do plic způsobuje onemocnění legionelózu. Ke vdechnutí legionelly dochází nejčastěji při sprchování. Ohrožené jsou obzvláště osoby se sníženou imunitou, staří nebo nemocní lidé. Proto je ve zdravotních zařízeních limit zpřísněn. Legionelóza se projevuje jako běžné onemocnění dýchacích cest způsobené nákazou bakterie legionella ve vodě. Je tedy špatně </w:t>
      </w:r>
      <w:proofErr w:type="gramStart"/>
      <w:r>
        <w:rPr>
          <w:rFonts w:eastAsia="Times New Roman" w:cs="Times New Roman"/>
          <w:color w:val="51514F"/>
          <w:sz w:val="18"/>
          <w:szCs w:val="18"/>
          <w:lang w:eastAsia="cs-CZ"/>
        </w:rPr>
        <w:t>identifikovatelná a pokud</w:t>
      </w:r>
      <w:proofErr w:type="gramEnd"/>
      <w:r>
        <w:rPr>
          <w:rFonts w:eastAsia="Times New Roman" w:cs="Times New Roman"/>
          <w:color w:val="51514F"/>
          <w:sz w:val="18"/>
          <w:szCs w:val="18"/>
          <w:lang w:eastAsia="cs-CZ"/>
        </w:rPr>
        <w:t xml:space="preserve"> není nasazená správná léčba, může dojít i k úmrtí nakaženého (ročně je v ČR smrtelných případů několik desítek). Existuje několik způsobů obrany před legionellou. Menší bojlery v domácnostech se automaticky jednou za čas přehřejí na teplotu, která legionellu zahubí. U větších distribučních systémů je takové řešení neekonomické, nebezpečné a často také neúčinné (nelze dosáhnout dostatečného zahřátí celého systému). Proto se používá dezinfekce ozónem. Ten totiž dokáže rozrušit biofilmy, ve kterých se legionella ukrývá a množí.</w:t>
      </w:r>
    </w:p>
    <w:p w:rsidR="00287B1D" w:rsidRDefault="00BB6CB9">
      <w:pPr>
        <w:shd w:val="clear" w:color="auto" w:fill="FFFFFF"/>
        <w:spacing w:line="240" w:lineRule="auto"/>
        <w:textAlignment w:val="baseline"/>
        <w:rPr>
          <w:rFonts w:eastAsia="Times New Roman" w:cs="Times New Roman"/>
          <w:color w:val="0079AD"/>
          <w:sz w:val="18"/>
          <w:szCs w:val="18"/>
          <w:lang w:eastAsia="cs-CZ"/>
        </w:rPr>
      </w:pPr>
      <w:r>
        <w:rPr>
          <w:rFonts w:eastAsia="Times New Roman" w:cs="Times New Roman"/>
          <w:color w:val="0079AD"/>
          <w:sz w:val="18"/>
          <w:szCs w:val="18"/>
          <w:lang w:eastAsia="cs-CZ"/>
        </w:rPr>
        <w:t>Projevy</w:t>
      </w:r>
    </w:p>
    <w:p w:rsidR="00287B1D" w:rsidRDefault="00BB6CB9">
      <w:pPr>
        <w:numPr>
          <w:ilvl w:val="0"/>
          <w:numId w:val="26"/>
        </w:numPr>
        <w:shd w:val="clear" w:color="auto" w:fill="FFFFFF"/>
        <w:spacing w:before="165" w:after="165" w:line="240" w:lineRule="auto"/>
        <w:ind w:left="165" w:right="165"/>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Bez zápachu</w:t>
      </w:r>
    </w:p>
    <w:p w:rsidR="00287B1D" w:rsidRDefault="00BB6CB9">
      <w:pPr>
        <w:numPr>
          <w:ilvl w:val="0"/>
          <w:numId w:val="26"/>
        </w:numPr>
        <w:shd w:val="clear" w:color="auto" w:fill="FFFFFF"/>
        <w:spacing w:before="165" w:after="165" w:line="240" w:lineRule="auto"/>
        <w:ind w:left="165" w:right="165"/>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Bez chuti</w:t>
      </w:r>
    </w:p>
    <w:p w:rsidR="00287B1D" w:rsidRDefault="00BB6CB9">
      <w:pPr>
        <w:shd w:val="clear" w:color="auto" w:fill="FFFFFF"/>
        <w:spacing w:line="240" w:lineRule="auto"/>
        <w:textAlignment w:val="baseline"/>
        <w:rPr>
          <w:rFonts w:eastAsia="Times New Roman" w:cs="Times New Roman"/>
          <w:color w:val="0079AD"/>
          <w:sz w:val="18"/>
          <w:szCs w:val="18"/>
          <w:lang w:eastAsia="cs-CZ"/>
        </w:rPr>
      </w:pPr>
      <w:r>
        <w:rPr>
          <w:rFonts w:eastAsia="Times New Roman" w:cs="Times New Roman"/>
          <w:color w:val="0079AD"/>
          <w:sz w:val="18"/>
          <w:szCs w:val="18"/>
          <w:lang w:eastAsia="cs-CZ"/>
        </w:rPr>
        <w:t>Rizika</w:t>
      </w:r>
    </w:p>
    <w:p w:rsidR="00287B1D" w:rsidRDefault="00BB6CB9">
      <w:pPr>
        <w:numPr>
          <w:ilvl w:val="0"/>
          <w:numId w:val="27"/>
        </w:numPr>
        <w:shd w:val="clear" w:color="auto" w:fill="FFFFFF"/>
        <w:spacing w:before="165" w:after="165" w:line="240" w:lineRule="auto"/>
        <w:ind w:left="165" w:right="165"/>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Propuknutí potenciálně smrtelné Legionářské nemoci (legionelóza)</w:t>
      </w:r>
    </w:p>
    <w:p w:rsidR="00287B1D" w:rsidRDefault="00BB6CB9">
      <w:pPr>
        <w:numPr>
          <w:ilvl w:val="0"/>
          <w:numId w:val="27"/>
        </w:numPr>
        <w:shd w:val="clear" w:color="auto" w:fill="FFFFFF"/>
        <w:spacing w:before="165" w:after="165" w:line="240" w:lineRule="auto"/>
        <w:ind w:left="165" w:right="165"/>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Onemocnění lehčí verzí legionelózy – Pontiacká horečka</w:t>
      </w:r>
    </w:p>
    <w:p w:rsidR="00287B1D" w:rsidRDefault="00287B1D">
      <w:pPr>
        <w:rPr>
          <w:sz w:val="14"/>
          <w:szCs w:val="14"/>
        </w:rPr>
      </w:pPr>
    </w:p>
    <w:p w:rsidR="00287B1D" w:rsidRDefault="00BB6CB9">
      <w:r>
        <w:rPr>
          <w:noProof/>
          <w:lang w:eastAsia="cs-CZ"/>
        </w:rPr>
        <w:drawing>
          <wp:anchor distT="0" distB="0" distL="114300" distR="114300" simplePos="0" relativeHeight="62" behindDoc="0" locked="0" layoutInCell="1" allowOverlap="1">
            <wp:simplePos x="0" y="0"/>
            <wp:positionH relativeFrom="column">
              <wp:posOffset>3812540</wp:posOffset>
            </wp:positionH>
            <wp:positionV relativeFrom="paragraph">
              <wp:posOffset>158115</wp:posOffset>
            </wp:positionV>
            <wp:extent cx="2174240" cy="1057275"/>
            <wp:effectExtent l="0" t="0" r="0" b="0"/>
            <wp:wrapSquare wrapText="bothSides"/>
            <wp:docPr id="79"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ázek 12"/>
                    <pic:cNvPicPr>
                      <a:picLocks noChangeAspect="1" noChangeArrowheads="1"/>
                    </pic:cNvPicPr>
                  </pic:nvPicPr>
                  <pic:blipFill>
                    <a:blip r:embed="rId147"/>
                    <a:stretch>
                      <a:fillRect/>
                    </a:stretch>
                  </pic:blipFill>
                  <pic:spPr bwMode="auto">
                    <a:xfrm>
                      <a:off x="0" y="0"/>
                      <a:ext cx="2174240" cy="1057275"/>
                    </a:xfrm>
                    <a:prstGeom prst="rect">
                      <a:avLst/>
                    </a:prstGeom>
                  </pic:spPr>
                </pic:pic>
              </a:graphicData>
            </a:graphic>
          </wp:anchor>
        </w:drawing>
      </w:r>
      <w:r>
        <w:rPr>
          <w:noProof/>
          <w:lang w:eastAsia="cs-CZ"/>
        </w:rPr>
        <w:drawing>
          <wp:inline distT="0" distB="0" distL="0" distR="0">
            <wp:extent cx="1807845" cy="1429385"/>
            <wp:effectExtent l="0" t="0" r="0" b="0"/>
            <wp:docPr id="80"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ázek 6"/>
                    <pic:cNvPicPr>
                      <a:picLocks noChangeAspect="1" noChangeArrowheads="1"/>
                    </pic:cNvPicPr>
                  </pic:nvPicPr>
                  <pic:blipFill>
                    <a:blip r:embed="rId148"/>
                    <a:stretch>
                      <a:fillRect/>
                    </a:stretch>
                  </pic:blipFill>
                  <pic:spPr bwMode="auto">
                    <a:xfrm>
                      <a:off x="0" y="0"/>
                      <a:ext cx="1807845" cy="1429385"/>
                    </a:xfrm>
                    <a:prstGeom prst="rect">
                      <a:avLst/>
                    </a:prstGeom>
                  </pic:spPr>
                </pic:pic>
              </a:graphicData>
            </a:graphic>
          </wp:inline>
        </w:drawing>
      </w:r>
      <w:r>
        <w:t xml:space="preserve"> </w:t>
      </w:r>
      <w:r>
        <w:rPr>
          <w:lang w:eastAsia="cs-CZ"/>
        </w:rPr>
        <w:t xml:space="preserve"> </w:t>
      </w:r>
      <w:r>
        <w:rPr>
          <w:noProof/>
          <w:lang w:eastAsia="cs-CZ"/>
        </w:rPr>
        <w:drawing>
          <wp:inline distT="0" distB="0" distL="0" distR="0">
            <wp:extent cx="1727835" cy="1270000"/>
            <wp:effectExtent l="0" t="0" r="0" b="0"/>
            <wp:docPr id="8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ázek 11"/>
                    <pic:cNvPicPr>
                      <a:picLocks noChangeAspect="1" noChangeArrowheads="1"/>
                    </pic:cNvPicPr>
                  </pic:nvPicPr>
                  <pic:blipFill>
                    <a:blip r:embed="rId149"/>
                    <a:stretch>
                      <a:fillRect/>
                    </a:stretch>
                  </pic:blipFill>
                  <pic:spPr bwMode="auto">
                    <a:xfrm>
                      <a:off x="0" y="0"/>
                      <a:ext cx="1727835" cy="1270000"/>
                    </a:xfrm>
                    <a:prstGeom prst="rect">
                      <a:avLst/>
                    </a:prstGeom>
                  </pic:spPr>
                </pic:pic>
              </a:graphicData>
            </a:graphic>
          </wp:inline>
        </w:drawing>
      </w:r>
      <w:r>
        <w:t xml:space="preserve"> </w:t>
      </w:r>
    </w:p>
    <w:p w:rsidR="00287B1D" w:rsidRDefault="00BB6CB9">
      <w:pPr>
        <w:ind w:left="708"/>
      </w:pPr>
      <w:r>
        <w:t xml:space="preserve">     </w:t>
      </w:r>
      <w:r>
        <w:rPr>
          <w:noProof/>
          <w:lang w:eastAsia="cs-CZ"/>
        </w:rPr>
        <w:drawing>
          <wp:inline distT="0" distB="0" distL="0" distR="0">
            <wp:extent cx="469900" cy="116205"/>
            <wp:effectExtent l="0" t="0" r="0" b="0"/>
            <wp:docPr id="82"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ázek 13"/>
                    <pic:cNvPicPr>
                      <a:picLocks noChangeAspect="1" noChangeArrowheads="1"/>
                    </pic:cNvPicPr>
                  </pic:nvPicPr>
                  <pic:blipFill>
                    <a:blip r:embed="rId150"/>
                    <a:stretch>
                      <a:fillRect/>
                    </a:stretch>
                  </pic:blipFill>
                  <pic:spPr bwMode="auto">
                    <a:xfrm>
                      <a:off x="0" y="0"/>
                      <a:ext cx="469900" cy="116205"/>
                    </a:xfrm>
                    <a:prstGeom prst="rect">
                      <a:avLst/>
                    </a:prstGeom>
                  </pic:spPr>
                </pic:pic>
              </a:graphicData>
            </a:graphic>
          </wp:inline>
        </w:drawing>
      </w:r>
    </w:p>
    <w:p w:rsidR="00287B1D" w:rsidRDefault="00BB6CB9">
      <w:pPr>
        <w:spacing w:line="240" w:lineRule="auto"/>
        <w:ind w:left="-426" w:right="567"/>
        <w:jc w:val="both"/>
        <w:rPr>
          <w:sz w:val="18"/>
          <w:szCs w:val="18"/>
        </w:rPr>
      </w:pPr>
      <w:r>
        <w:rPr>
          <w:b/>
          <w:i/>
          <w:sz w:val="18"/>
          <w:szCs w:val="18"/>
        </w:rPr>
        <w:t>Legionella,</w:t>
      </w:r>
      <w:r>
        <w:rPr>
          <w:sz w:val="18"/>
          <w:szCs w:val="18"/>
        </w:rPr>
        <w:t> je </w:t>
      </w:r>
      <w:hyperlink r:id="rId151" w:tgtFrame="Rod (biologie)">
        <w:r>
          <w:rPr>
            <w:rStyle w:val="Internetovodkaz"/>
            <w:sz w:val="18"/>
            <w:szCs w:val="18"/>
          </w:rPr>
          <w:t>rod</w:t>
        </w:r>
      </w:hyperlink>
      <w:r>
        <w:rPr>
          <w:sz w:val="18"/>
          <w:szCs w:val="18"/>
        </w:rPr>
        <w:t> </w:t>
      </w:r>
      <w:hyperlink r:id="rId152" w:tgtFrame="Patogen">
        <w:r>
          <w:rPr>
            <w:rStyle w:val="Internetovodkaz"/>
            <w:sz w:val="18"/>
            <w:szCs w:val="18"/>
          </w:rPr>
          <w:t>patogenních</w:t>
        </w:r>
      </w:hyperlink>
      <w:r>
        <w:rPr>
          <w:sz w:val="18"/>
          <w:szCs w:val="18"/>
        </w:rPr>
        <w:t> </w:t>
      </w:r>
      <w:hyperlink r:id="rId153" w:tgtFrame="Gramnegativní bakterie">
        <w:r>
          <w:rPr>
            <w:rStyle w:val="Internetovodkaz"/>
            <w:sz w:val="18"/>
            <w:szCs w:val="18"/>
          </w:rPr>
          <w:t>gramnegativních</w:t>
        </w:r>
      </w:hyperlink>
      <w:r>
        <w:rPr>
          <w:sz w:val="18"/>
          <w:szCs w:val="18"/>
        </w:rPr>
        <w:t> </w:t>
      </w:r>
      <w:hyperlink r:id="rId154" w:tgtFrame="Bakterie">
        <w:r>
          <w:rPr>
            <w:rStyle w:val="Internetovodkaz"/>
            <w:sz w:val="18"/>
            <w:szCs w:val="18"/>
          </w:rPr>
          <w:t>bakterií</w:t>
        </w:r>
      </w:hyperlink>
      <w:r>
        <w:rPr>
          <w:sz w:val="18"/>
          <w:szCs w:val="18"/>
        </w:rPr>
        <w:t xml:space="preserve">. Do tohoto rodu patří i druhy způsobující </w:t>
      </w:r>
      <w:hyperlink r:id="rId155" w:tgtFrame="Legionelóza">
        <w:r>
          <w:rPr>
            <w:rStyle w:val="Internetovodkaz"/>
            <w:sz w:val="18"/>
            <w:szCs w:val="18"/>
          </w:rPr>
          <w:t>legionelózu</w:t>
        </w:r>
      </w:hyperlink>
      <w:r>
        <w:rPr>
          <w:sz w:val="18"/>
          <w:szCs w:val="18"/>
        </w:rPr>
        <w:t> čili „nemoc legionářů“, zejména druh </w:t>
      </w:r>
      <w:hyperlink r:id="rId156" w:tgtFrame="Legionella pneumophila (stránka neexistuje)">
        <w:r>
          <w:rPr>
            <w:rStyle w:val="Internetovodkaz"/>
            <w:sz w:val="18"/>
            <w:szCs w:val="18"/>
          </w:rPr>
          <w:t>L. pneumophila</w:t>
        </w:r>
      </w:hyperlink>
      <w:r>
        <w:rPr>
          <w:sz w:val="18"/>
          <w:szCs w:val="18"/>
        </w:rPr>
        <w:t xml:space="preserve">.  Legionella se běžně vyskytuje ve vodním prostředí a nejvíce se ji daří v </w:t>
      </w:r>
      <w:proofErr w:type="gramStart"/>
      <w:r>
        <w:rPr>
          <w:sz w:val="18"/>
          <w:szCs w:val="18"/>
        </w:rPr>
        <w:t>teplých a v vlhkých</w:t>
      </w:r>
      <w:proofErr w:type="gramEnd"/>
      <w:r>
        <w:rPr>
          <w:sz w:val="18"/>
          <w:szCs w:val="18"/>
        </w:rPr>
        <w:t xml:space="preserve"> místech. Bylo identifikováno nejméně 50 druhů a 70 </w:t>
      </w:r>
      <w:hyperlink r:id="rId157" w:tgtFrame="Sérotyp">
        <w:r>
          <w:rPr>
            <w:rStyle w:val="Internetovodkaz"/>
            <w:sz w:val="18"/>
            <w:szCs w:val="18"/>
          </w:rPr>
          <w:t>sérotypů</w:t>
        </w:r>
      </w:hyperlink>
      <w:r>
        <w:rPr>
          <w:sz w:val="18"/>
          <w:szCs w:val="18"/>
        </w:rPr>
        <w:t>. </w:t>
      </w:r>
      <w:hyperlink r:id="rId158" w:tgtFrame="Postranní řetězec (stránka neexistuje)">
        <w:r>
          <w:rPr>
            <w:rStyle w:val="Internetovodkaz"/>
            <w:sz w:val="18"/>
            <w:szCs w:val="18"/>
          </w:rPr>
          <w:t>Postranní řetězce</w:t>
        </w:r>
      </w:hyperlink>
      <w:r>
        <w:rPr>
          <w:sz w:val="18"/>
          <w:szCs w:val="18"/>
        </w:rPr>
        <w:t> v </w:t>
      </w:r>
      <w:hyperlink r:id="rId159" w:tgtFrame="Buněčná stěna">
        <w:r>
          <w:rPr>
            <w:rStyle w:val="Internetovodkaz"/>
            <w:sz w:val="18"/>
            <w:szCs w:val="18"/>
          </w:rPr>
          <w:t>buněčných stěnách</w:t>
        </w:r>
      </w:hyperlink>
      <w:r>
        <w:rPr>
          <w:sz w:val="18"/>
          <w:szCs w:val="18"/>
        </w:rPr>
        <w:t xml:space="preserve"> nesou báze odpovědné za </w:t>
      </w:r>
      <w:proofErr w:type="gramStart"/>
      <w:r>
        <w:rPr>
          <w:sz w:val="18"/>
          <w:szCs w:val="18"/>
        </w:rPr>
        <w:t>somatickou  antigenní</w:t>
      </w:r>
      <w:proofErr w:type="gramEnd"/>
      <w:r>
        <w:rPr>
          <w:sz w:val="18"/>
          <w:szCs w:val="18"/>
        </w:rPr>
        <w:t xml:space="preserve"> somatickou </w:t>
      </w:r>
      <w:hyperlink r:id="rId160" w:tgtFrame="Antigen">
        <w:r>
          <w:rPr>
            <w:rStyle w:val="Internetovodkaz"/>
            <w:sz w:val="18"/>
            <w:szCs w:val="18"/>
          </w:rPr>
          <w:t>antigenní</w:t>
        </w:r>
      </w:hyperlink>
      <w:r>
        <w:rPr>
          <w:sz w:val="18"/>
          <w:szCs w:val="18"/>
        </w:rPr>
        <w:t> specifičnost těchto organismů. Chemické složení řetězců, jak z hlediska součástí, tak uspořádání </w:t>
      </w:r>
      <w:hyperlink r:id="rId161" w:tgtFrame="Sacharidy">
        <w:r>
          <w:rPr>
            <w:rStyle w:val="Internetovodkaz"/>
            <w:sz w:val="18"/>
            <w:szCs w:val="18"/>
          </w:rPr>
          <w:t>sacharidů</w:t>
        </w:r>
      </w:hyperlink>
      <w:r>
        <w:rPr>
          <w:sz w:val="18"/>
          <w:szCs w:val="18"/>
        </w:rPr>
        <w:t>, určuje povahu antigenních determinantů, které jsou základem </w:t>
      </w:r>
      <w:hyperlink r:id="rId162" w:tgtFrame="Sérologická klasifikace (stránka neexistuje)">
        <w:r>
          <w:rPr>
            <w:rStyle w:val="Internetovodkaz"/>
            <w:sz w:val="18"/>
            <w:szCs w:val="18"/>
          </w:rPr>
          <w:t>sérologické klasifikace</w:t>
        </w:r>
      </w:hyperlink>
      <w:r>
        <w:rPr>
          <w:sz w:val="18"/>
          <w:szCs w:val="18"/>
        </w:rPr>
        <w:t> mnoha gramnegativních bakterií.</w:t>
      </w:r>
    </w:p>
    <w:p w:rsidR="00287B1D" w:rsidRDefault="00BB6CB9">
      <w:pPr>
        <w:spacing w:line="240" w:lineRule="auto"/>
        <w:ind w:left="-426"/>
        <w:rPr>
          <w:rFonts w:cstheme="minorHAnsi"/>
          <w:sz w:val="14"/>
          <w:szCs w:val="14"/>
        </w:rPr>
      </w:pPr>
      <w:proofErr w:type="gramStart"/>
      <w:r>
        <w:rPr>
          <w:sz w:val="14"/>
          <w:szCs w:val="14"/>
        </w:rPr>
        <w:t>Obr.18</w:t>
      </w:r>
      <w:proofErr w:type="gramEnd"/>
      <w:r>
        <w:rPr>
          <w:sz w:val="14"/>
          <w:szCs w:val="14"/>
        </w:rPr>
        <w:t xml:space="preserve">; </w:t>
      </w:r>
      <w:proofErr w:type="gramStart"/>
      <w:r>
        <w:rPr>
          <w:sz w:val="14"/>
          <w:szCs w:val="14"/>
        </w:rPr>
        <w:t>Graf.10</w:t>
      </w:r>
      <w:proofErr w:type="gramEnd"/>
      <w:r>
        <w:rPr>
          <w:sz w:val="14"/>
          <w:szCs w:val="14"/>
        </w:rPr>
        <w:t xml:space="preserve"> Sledovaná Legionella, závislost účinnosti reaktoru UV-C LED VTI v systému AQ3 Mini v grafu, inaktivace Legionelly (průtok/%) a příslušná tabulka </w:t>
      </w:r>
      <w:r>
        <w:rPr>
          <w:sz w:val="14"/>
          <w:szCs w:val="14"/>
          <w:lang w:val="en-US"/>
        </w:rPr>
        <w:t>η</w:t>
      </w:r>
      <w:r>
        <w:rPr>
          <w:sz w:val="14"/>
          <w:szCs w:val="14"/>
        </w:rPr>
        <w:t xml:space="preserve"> v %, Legionellu </w:t>
      </w:r>
      <w:r>
        <w:rPr>
          <w:rFonts w:cstheme="minorHAnsi"/>
          <w:sz w:val="14"/>
          <w:szCs w:val="14"/>
        </w:rPr>
        <w:t>vyskytující se v kontaminované vodě, AQ3 Mini   zachytí, deaktivuje</w:t>
      </w:r>
    </w:p>
    <w:p w:rsidR="00287B1D" w:rsidRDefault="00BB6CB9">
      <w:pPr>
        <w:shd w:val="clear" w:color="auto" w:fill="FFFFFF"/>
        <w:spacing w:after="345" w:line="240" w:lineRule="auto"/>
        <w:ind w:left="-426" w:right="567"/>
        <w:jc w:val="center"/>
        <w:textAlignment w:val="baseline"/>
        <w:rPr>
          <w:rFonts w:eastAsia="Times New Roman" w:cs="Times New Roman"/>
          <w:b/>
          <w:sz w:val="18"/>
          <w:szCs w:val="18"/>
          <w:lang w:eastAsia="cs-CZ"/>
        </w:rPr>
      </w:pPr>
      <w:r>
        <w:rPr>
          <w:rFonts w:eastAsia="Times New Roman" w:cs="Times New Roman"/>
          <w:b/>
          <w:sz w:val="18"/>
          <w:szCs w:val="18"/>
          <w:lang w:eastAsia="cs-CZ"/>
        </w:rPr>
        <w:t>Pseudomonas aeruginosa</w:t>
      </w:r>
    </w:p>
    <w:p w:rsidR="00287B1D" w:rsidRDefault="00BB6CB9">
      <w:pPr>
        <w:shd w:val="clear" w:color="auto" w:fill="FFFFFF"/>
        <w:spacing w:after="345" w:line="240" w:lineRule="auto"/>
        <w:ind w:left="-426" w:right="567"/>
        <w:jc w:val="both"/>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 xml:space="preserve">Bakterie Pseudomonas (pseudomonáda) jsou v přírodě velmi hojné a vzhledem ke své přizpůsobivosti je nalezneme i na mnoha jiných místech. Častý je výskyt </w:t>
      </w:r>
      <w:r>
        <w:rPr>
          <w:rFonts w:eastAsia="Times New Roman" w:cs="Times New Roman"/>
          <w:color w:val="FF0000"/>
          <w:sz w:val="18"/>
          <w:szCs w:val="18"/>
          <w:lang w:eastAsia="cs-CZ"/>
        </w:rPr>
        <w:t xml:space="preserve">ve vodě </w:t>
      </w:r>
      <w:r>
        <w:rPr>
          <w:rFonts w:eastAsia="Times New Roman" w:cs="Times New Roman"/>
          <w:color w:val="51514F"/>
          <w:sz w:val="18"/>
          <w:szCs w:val="18"/>
          <w:lang w:eastAsia="cs-CZ"/>
        </w:rPr>
        <w:t xml:space="preserve">či uvnitř těl rostlin. Proto byly objeveny již prvními mikrobiology. Určité druhy způsobují onemocnění rostlin, živočichů včetně člověka. </w:t>
      </w:r>
      <w:r>
        <w:rPr>
          <w:rFonts w:eastAsia="Times New Roman" w:cs="Times New Roman"/>
          <w:color w:val="51514F"/>
          <w:sz w:val="18"/>
          <w:szCs w:val="18"/>
          <w:u w:val="single"/>
          <w:lang w:eastAsia="cs-CZ"/>
        </w:rPr>
        <w:t>Největší hrozbou pro člověka</w:t>
      </w:r>
      <w:r>
        <w:rPr>
          <w:rFonts w:eastAsia="Times New Roman" w:cs="Times New Roman"/>
          <w:color w:val="51514F"/>
          <w:sz w:val="18"/>
          <w:szCs w:val="18"/>
          <w:lang w:eastAsia="cs-CZ"/>
        </w:rPr>
        <w:t xml:space="preserve"> je Pseudomonas aeruginosa. Velké množství pseudomonád umí vytvářet biofilmy, díky </w:t>
      </w:r>
      <w:proofErr w:type="gramStart"/>
      <w:r>
        <w:rPr>
          <w:rFonts w:eastAsia="Times New Roman" w:cs="Times New Roman"/>
          <w:color w:val="51514F"/>
          <w:sz w:val="18"/>
          <w:szCs w:val="18"/>
          <w:lang w:eastAsia="cs-CZ"/>
        </w:rPr>
        <w:t>nímž</w:t>
      </w:r>
      <w:proofErr w:type="gramEnd"/>
      <w:r>
        <w:rPr>
          <w:rFonts w:eastAsia="Times New Roman" w:cs="Times New Roman"/>
          <w:color w:val="51514F"/>
          <w:sz w:val="18"/>
          <w:szCs w:val="18"/>
          <w:lang w:eastAsia="cs-CZ"/>
        </w:rPr>
        <w:t xml:space="preserve"> </w:t>
      </w:r>
      <w:r>
        <w:rPr>
          <w:rFonts w:eastAsia="Times New Roman" w:cs="Times New Roman"/>
          <w:color w:val="FF0000"/>
          <w:sz w:val="18"/>
          <w:szCs w:val="18"/>
          <w:lang w:eastAsia="cs-CZ"/>
        </w:rPr>
        <w:t>dokáží tyto bakterie přežít i v různých nádobách nebo dokonce v láhvích s balenou vodou</w:t>
      </w:r>
      <w:r>
        <w:rPr>
          <w:rFonts w:eastAsia="Times New Roman" w:cs="Times New Roman"/>
          <w:color w:val="51514F"/>
          <w:sz w:val="18"/>
          <w:szCs w:val="18"/>
          <w:lang w:eastAsia="cs-CZ"/>
        </w:rPr>
        <w:t xml:space="preserve">. </w:t>
      </w:r>
      <w:r>
        <w:rPr>
          <w:rFonts w:eastAsia="Times New Roman" w:cs="Times New Roman"/>
          <w:color w:val="51514F"/>
          <w:sz w:val="18"/>
          <w:szCs w:val="18"/>
          <w:lang w:eastAsia="cs-CZ"/>
        </w:rPr>
        <w:lastRenderedPageBreak/>
        <w:t xml:space="preserve">Bakterie Pseudomonas jsou odolné vůči antibiotikům typu penicilin. Odolnost neplatí vůči piperacilinu, tobramycinu apod. Pseudomonas aeruginosa je schopná infikovat popáleniny, bércové vředy, rohovku či plíce pacientů, kteří trpí onemocněním zvané cystická fibróza. Je jí dobře kdekoliv, kde je vlhko. Žije i ve výkalech některých zdravých lidí. Některé infekce mohou končit až smrtí. </w:t>
      </w:r>
      <w:r>
        <w:rPr>
          <w:rFonts w:eastAsia="Times New Roman" w:cs="Times New Roman"/>
          <w:color w:val="FF0000"/>
          <w:sz w:val="18"/>
          <w:szCs w:val="18"/>
          <w:lang w:eastAsia="cs-CZ"/>
        </w:rPr>
        <w:t xml:space="preserve">Při plavání v bazénu </w:t>
      </w:r>
      <w:r>
        <w:rPr>
          <w:rFonts w:eastAsia="Times New Roman" w:cs="Times New Roman"/>
          <w:color w:val="51514F"/>
          <w:sz w:val="18"/>
          <w:szCs w:val="18"/>
          <w:lang w:eastAsia="cs-CZ"/>
        </w:rPr>
        <w:t xml:space="preserve">může Pseudomonas aeruginosa způsobit folikulitidu a zánět zevního ucha. Pseudomonas se </w:t>
      </w:r>
      <w:r>
        <w:rPr>
          <w:rFonts w:eastAsia="Times New Roman" w:cs="Times New Roman"/>
          <w:color w:val="51514F"/>
          <w:sz w:val="18"/>
          <w:szCs w:val="18"/>
          <w:u w:val="single"/>
          <w:lang w:eastAsia="cs-CZ"/>
        </w:rPr>
        <w:t>šíří pomocí kontaktu poraněné tkáně s vodou, ve které jsou obsažené</w:t>
      </w:r>
      <w:r>
        <w:rPr>
          <w:rFonts w:eastAsia="Times New Roman" w:cs="Times New Roman"/>
          <w:color w:val="51514F"/>
          <w:sz w:val="18"/>
          <w:szCs w:val="18"/>
          <w:lang w:eastAsia="cs-CZ"/>
        </w:rPr>
        <w:t>. Dále vzduchem a roztoky užívané v nemocnicích.</w:t>
      </w:r>
    </w:p>
    <w:p w:rsidR="00287B1D" w:rsidRDefault="00BB6CB9">
      <w:pPr>
        <w:shd w:val="clear" w:color="auto" w:fill="FFFFFF"/>
        <w:spacing w:after="0" w:line="240" w:lineRule="auto"/>
        <w:textAlignment w:val="baseline"/>
        <w:rPr>
          <w:rFonts w:eastAsia="Times New Roman" w:cs="Times New Roman"/>
          <w:color w:val="0079AD"/>
          <w:sz w:val="18"/>
          <w:szCs w:val="18"/>
          <w:lang w:eastAsia="cs-CZ"/>
        </w:rPr>
      </w:pPr>
      <w:r>
        <w:rPr>
          <w:rFonts w:eastAsia="Times New Roman" w:cs="Times New Roman"/>
          <w:color w:val="0079AD"/>
          <w:sz w:val="18"/>
          <w:szCs w:val="18"/>
          <w:lang w:eastAsia="cs-CZ"/>
        </w:rPr>
        <w:t>Jaké jsou projevy</w:t>
      </w:r>
    </w:p>
    <w:p w:rsidR="00287B1D" w:rsidRDefault="00BB6CB9">
      <w:pPr>
        <w:numPr>
          <w:ilvl w:val="0"/>
          <w:numId w:val="24"/>
        </w:numPr>
        <w:shd w:val="clear" w:color="auto" w:fill="FFFFFF"/>
        <w:spacing w:after="0" w:line="240" w:lineRule="auto"/>
        <w:ind w:left="165" w:right="165"/>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Extrémní množství doprovází zákal, zápach a pachuť</w:t>
      </w:r>
    </w:p>
    <w:p w:rsidR="00287B1D" w:rsidRDefault="00BB6CB9">
      <w:pPr>
        <w:numPr>
          <w:ilvl w:val="0"/>
          <w:numId w:val="24"/>
        </w:numPr>
        <w:shd w:val="clear" w:color="auto" w:fill="FFFFFF"/>
        <w:spacing w:before="165" w:after="0" w:line="240" w:lineRule="auto"/>
        <w:ind w:left="165" w:right="165"/>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Při běžném množství jsou nepostřehnutelné</w:t>
      </w:r>
    </w:p>
    <w:p w:rsidR="00287B1D" w:rsidRDefault="00287B1D">
      <w:pPr>
        <w:shd w:val="clear" w:color="auto" w:fill="FFFFFF"/>
        <w:spacing w:after="0" w:line="240" w:lineRule="auto"/>
        <w:textAlignment w:val="baseline"/>
        <w:rPr>
          <w:rFonts w:eastAsia="Times New Roman" w:cs="Times New Roman"/>
          <w:color w:val="0079AD"/>
          <w:sz w:val="18"/>
          <w:szCs w:val="18"/>
          <w:lang w:eastAsia="cs-CZ"/>
        </w:rPr>
      </w:pPr>
    </w:p>
    <w:p w:rsidR="00287B1D" w:rsidRDefault="00BB6CB9">
      <w:pPr>
        <w:shd w:val="clear" w:color="auto" w:fill="FFFFFF"/>
        <w:spacing w:after="0" w:line="240" w:lineRule="auto"/>
        <w:textAlignment w:val="baseline"/>
        <w:rPr>
          <w:rFonts w:eastAsia="Times New Roman" w:cs="Times New Roman"/>
          <w:color w:val="0079AD"/>
          <w:sz w:val="18"/>
          <w:szCs w:val="18"/>
          <w:lang w:eastAsia="cs-CZ"/>
        </w:rPr>
      </w:pPr>
      <w:r>
        <w:rPr>
          <w:rFonts w:eastAsia="Times New Roman" w:cs="Times New Roman"/>
          <w:color w:val="0079AD"/>
          <w:sz w:val="18"/>
          <w:szCs w:val="18"/>
          <w:lang w:eastAsia="cs-CZ"/>
        </w:rPr>
        <w:t>Jaká jsou rizika</w:t>
      </w:r>
    </w:p>
    <w:p w:rsidR="00287B1D" w:rsidRDefault="00BB6CB9">
      <w:pPr>
        <w:numPr>
          <w:ilvl w:val="0"/>
          <w:numId w:val="25"/>
        </w:numPr>
        <w:shd w:val="clear" w:color="auto" w:fill="FFFFFF"/>
        <w:spacing w:before="165" w:after="0" w:line="240" w:lineRule="auto"/>
        <w:ind w:left="165" w:right="165"/>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Způsobují nevolnosti, průjmy a zvracení</w:t>
      </w:r>
    </w:p>
    <w:p w:rsidR="00287B1D" w:rsidRDefault="00BB6CB9">
      <w:r>
        <w:rPr>
          <w:noProof/>
          <w:lang w:eastAsia="cs-CZ"/>
        </w:rPr>
        <w:drawing>
          <wp:anchor distT="0" distB="0" distL="114300" distR="114300" simplePos="0" relativeHeight="63" behindDoc="0" locked="0" layoutInCell="1" allowOverlap="1">
            <wp:simplePos x="0" y="0"/>
            <wp:positionH relativeFrom="column">
              <wp:posOffset>3888105</wp:posOffset>
            </wp:positionH>
            <wp:positionV relativeFrom="paragraph">
              <wp:posOffset>446405</wp:posOffset>
            </wp:positionV>
            <wp:extent cx="2051050" cy="1140460"/>
            <wp:effectExtent l="0" t="0" r="0" b="0"/>
            <wp:wrapSquare wrapText="bothSides"/>
            <wp:docPr id="83"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ázek 24"/>
                    <pic:cNvPicPr>
                      <a:picLocks noChangeAspect="1" noChangeArrowheads="1"/>
                    </pic:cNvPicPr>
                  </pic:nvPicPr>
                  <pic:blipFill>
                    <a:blip r:embed="rId163"/>
                    <a:stretch>
                      <a:fillRect/>
                    </a:stretch>
                  </pic:blipFill>
                  <pic:spPr bwMode="auto">
                    <a:xfrm>
                      <a:off x="0" y="0"/>
                      <a:ext cx="2051050" cy="1140460"/>
                    </a:xfrm>
                    <a:prstGeom prst="rect">
                      <a:avLst/>
                    </a:prstGeom>
                  </pic:spPr>
                </pic:pic>
              </a:graphicData>
            </a:graphic>
          </wp:anchor>
        </w:drawing>
      </w:r>
      <w:r>
        <w:rPr>
          <w:noProof/>
          <w:lang w:eastAsia="cs-CZ"/>
        </w:rPr>
        <w:drawing>
          <wp:anchor distT="0" distB="0" distL="114300" distR="114300" simplePos="0" relativeHeight="64" behindDoc="0" locked="0" layoutInCell="1" allowOverlap="1">
            <wp:simplePos x="0" y="0"/>
            <wp:positionH relativeFrom="column">
              <wp:posOffset>1790700</wp:posOffset>
            </wp:positionH>
            <wp:positionV relativeFrom="paragraph">
              <wp:posOffset>360045</wp:posOffset>
            </wp:positionV>
            <wp:extent cx="1703070" cy="1176020"/>
            <wp:effectExtent l="0" t="0" r="0" b="0"/>
            <wp:wrapSquare wrapText="bothSides"/>
            <wp:docPr id="84"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ázek 23"/>
                    <pic:cNvPicPr>
                      <a:picLocks noChangeAspect="1" noChangeArrowheads="1"/>
                    </pic:cNvPicPr>
                  </pic:nvPicPr>
                  <pic:blipFill>
                    <a:blip r:embed="rId164"/>
                    <a:stretch>
                      <a:fillRect/>
                    </a:stretch>
                  </pic:blipFill>
                  <pic:spPr bwMode="auto">
                    <a:xfrm>
                      <a:off x="0" y="0"/>
                      <a:ext cx="1703070" cy="1176020"/>
                    </a:xfrm>
                    <a:prstGeom prst="rect">
                      <a:avLst/>
                    </a:prstGeom>
                  </pic:spPr>
                </pic:pic>
              </a:graphicData>
            </a:graphic>
          </wp:anchor>
        </w:drawing>
      </w:r>
      <w:r>
        <w:rPr>
          <w:noProof/>
          <w:lang w:eastAsia="cs-CZ"/>
        </w:rPr>
        <w:drawing>
          <wp:inline distT="0" distB="0" distL="0" distR="0">
            <wp:extent cx="1294765" cy="1346200"/>
            <wp:effectExtent l="0" t="0" r="0" b="0"/>
            <wp:docPr id="85"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ázek 22"/>
                    <pic:cNvPicPr>
                      <a:picLocks noChangeAspect="1" noChangeArrowheads="1"/>
                    </pic:cNvPicPr>
                  </pic:nvPicPr>
                  <pic:blipFill>
                    <a:blip r:embed="rId165"/>
                    <a:stretch>
                      <a:fillRect/>
                    </a:stretch>
                  </pic:blipFill>
                  <pic:spPr bwMode="auto">
                    <a:xfrm>
                      <a:off x="0" y="0"/>
                      <a:ext cx="1294765" cy="1346200"/>
                    </a:xfrm>
                    <a:prstGeom prst="rect">
                      <a:avLst/>
                    </a:prstGeom>
                  </pic:spPr>
                </pic:pic>
              </a:graphicData>
            </a:graphic>
          </wp:inline>
        </w:drawing>
      </w:r>
      <w:r>
        <w:t xml:space="preserve">  </w:t>
      </w:r>
    </w:p>
    <w:p w:rsidR="00287B1D" w:rsidRDefault="00BB6CB9">
      <w:r>
        <w:t xml:space="preserve">    </w:t>
      </w:r>
      <w:r>
        <w:rPr>
          <w:noProof/>
          <w:lang w:eastAsia="cs-CZ"/>
        </w:rPr>
        <w:drawing>
          <wp:inline distT="0" distB="0" distL="0" distR="0">
            <wp:extent cx="1460500" cy="121920"/>
            <wp:effectExtent l="0" t="0" r="0" b="0"/>
            <wp:docPr id="86"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ázek 25"/>
                    <pic:cNvPicPr>
                      <a:picLocks noChangeAspect="1" noChangeArrowheads="1"/>
                    </pic:cNvPicPr>
                  </pic:nvPicPr>
                  <pic:blipFill>
                    <a:blip r:embed="rId166"/>
                    <a:stretch>
                      <a:fillRect/>
                    </a:stretch>
                  </pic:blipFill>
                  <pic:spPr bwMode="auto">
                    <a:xfrm>
                      <a:off x="0" y="0"/>
                      <a:ext cx="1460500" cy="121920"/>
                    </a:xfrm>
                    <a:prstGeom prst="rect">
                      <a:avLst/>
                    </a:prstGeom>
                  </pic:spPr>
                </pic:pic>
              </a:graphicData>
            </a:graphic>
          </wp:inline>
        </w:drawing>
      </w:r>
    </w:p>
    <w:p w:rsidR="00287B1D" w:rsidRDefault="00BB6CB9">
      <w:pPr>
        <w:ind w:left="-426" w:right="425"/>
        <w:jc w:val="both"/>
        <w:rPr>
          <w:rFonts w:cs="Arial"/>
          <w:sz w:val="18"/>
          <w:szCs w:val="18"/>
        </w:rPr>
      </w:pPr>
      <w:r>
        <w:rPr>
          <w:rFonts w:cs="Arial"/>
          <w:b/>
          <w:i/>
          <w:sz w:val="18"/>
          <w:szCs w:val="18"/>
        </w:rPr>
        <w:t>Pseudomonas aeruginosa</w:t>
      </w:r>
      <w:r>
        <w:rPr>
          <w:rFonts w:cs="Arial"/>
          <w:sz w:val="18"/>
          <w:szCs w:val="18"/>
        </w:rPr>
        <w:t> (syn. Bacterium pyocyaneum), je pohyblivá gramnegativní bakterie se </w:t>
      </w:r>
      <w:hyperlink r:id="rId167" w:tgtFrame="Slizová vrstva">
        <w:r>
          <w:rPr>
            <w:rStyle w:val="Internetovodkaz"/>
            <w:rFonts w:cs="Arial"/>
            <w:sz w:val="18"/>
            <w:szCs w:val="18"/>
          </w:rPr>
          <w:t>slizovou vrstvou</w:t>
        </w:r>
      </w:hyperlink>
      <w:r>
        <w:rPr>
          <w:rFonts w:cs="Arial"/>
          <w:sz w:val="18"/>
          <w:szCs w:val="18"/>
        </w:rPr>
        <w:t> patřící do skupiny </w:t>
      </w:r>
      <w:hyperlink r:id="rId168" w:tgtFrame="Fluoroscenční pseudomonády (stránka neexistuje)">
        <w:r>
          <w:rPr>
            <w:rStyle w:val="Internetovodkaz"/>
            <w:rFonts w:cs="Arial"/>
            <w:sz w:val="18"/>
            <w:szCs w:val="18"/>
          </w:rPr>
          <w:t>fluorescenčních pseudomonád</w:t>
        </w:r>
      </w:hyperlink>
      <w:r>
        <w:rPr>
          <w:rFonts w:cs="Arial"/>
          <w:sz w:val="18"/>
          <w:szCs w:val="18"/>
        </w:rPr>
        <w:t>. Jako potenciální patogen vyvolává řadu onemocnění, jako je </w:t>
      </w:r>
      <w:hyperlink r:id="rId169" w:tgtFrame="Zánět močových cest (stránka neexistuje)">
        <w:r>
          <w:rPr>
            <w:rStyle w:val="Internetovodkaz"/>
            <w:rFonts w:cs="Arial"/>
            <w:sz w:val="18"/>
            <w:szCs w:val="18"/>
          </w:rPr>
          <w:t>zánět močových cest</w:t>
        </w:r>
      </w:hyperlink>
      <w:r>
        <w:rPr>
          <w:rFonts w:cs="Arial"/>
          <w:sz w:val="18"/>
          <w:szCs w:val="18"/>
        </w:rPr>
        <w:t>, </w:t>
      </w:r>
      <w:hyperlink r:id="rId170" w:tgtFrame="Zánět středního ucha">
        <w:r>
          <w:rPr>
            <w:rStyle w:val="Internetovodkaz"/>
            <w:rFonts w:cs="Arial"/>
            <w:sz w:val="18"/>
            <w:szCs w:val="18"/>
          </w:rPr>
          <w:t>středního ucha</w:t>
        </w:r>
      </w:hyperlink>
      <w:r>
        <w:rPr>
          <w:rFonts w:cs="Arial"/>
          <w:sz w:val="18"/>
          <w:szCs w:val="18"/>
        </w:rPr>
        <w:t> či </w:t>
      </w:r>
      <w:hyperlink r:id="rId171" w:tgtFrame="Hnis">
        <w:r>
          <w:rPr>
            <w:rStyle w:val="Internetovodkaz"/>
            <w:rFonts w:cs="Arial"/>
            <w:sz w:val="18"/>
            <w:szCs w:val="18"/>
          </w:rPr>
          <w:t>hnisání</w:t>
        </w:r>
      </w:hyperlink>
      <w:r>
        <w:rPr>
          <w:rFonts w:cs="Arial"/>
          <w:sz w:val="18"/>
          <w:szCs w:val="18"/>
        </w:rPr>
        <w:t> </w:t>
      </w:r>
      <w:hyperlink r:id="rId172" w:tgtFrame="Popálenina">
        <w:r>
          <w:rPr>
            <w:rStyle w:val="Internetovodkaz"/>
            <w:rFonts w:cs="Arial"/>
            <w:sz w:val="18"/>
            <w:szCs w:val="18"/>
          </w:rPr>
          <w:t>popálenin</w:t>
        </w:r>
      </w:hyperlink>
      <w:r>
        <w:rPr>
          <w:rFonts w:cs="Arial"/>
          <w:sz w:val="18"/>
          <w:szCs w:val="18"/>
        </w:rPr>
        <w:t>. U pacientů s cystickou fibrózou způsobuje </w:t>
      </w:r>
      <w:hyperlink r:id="rId173" w:tgtFrame="Zápal plic">
        <w:r>
          <w:rPr>
            <w:rStyle w:val="Internetovodkaz"/>
            <w:rFonts w:cs="Arial"/>
            <w:sz w:val="18"/>
            <w:szCs w:val="18"/>
          </w:rPr>
          <w:t>pneumonie</w:t>
        </w:r>
      </w:hyperlink>
      <w:r>
        <w:rPr>
          <w:rFonts w:cs="Arial"/>
          <w:sz w:val="18"/>
          <w:szCs w:val="18"/>
        </w:rPr>
        <w:t>. U diabetiků a intravenózních narkomanů je zodpovědná za </w:t>
      </w:r>
      <w:hyperlink r:id="rId174" w:tgtFrame="Osteomyelitida">
        <w:r>
          <w:rPr>
            <w:rStyle w:val="Internetovodkaz"/>
            <w:rFonts w:cs="Arial"/>
            <w:sz w:val="18"/>
            <w:szCs w:val="18"/>
          </w:rPr>
          <w:t>osteomyelitidu</w:t>
        </w:r>
      </w:hyperlink>
      <w:r>
        <w:rPr>
          <w:rFonts w:cs="Arial"/>
          <w:sz w:val="18"/>
          <w:szCs w:val="18"/>
        </w:rPr>
        <w:t xml:space="preserve">. U pacientů, kteří </w:t>
      </w:r>
      <w:proofErr w:type="gramStart"/>
      <w:r>
        <w:rPr>
          <w:rFonts w:cs="Arial"/>
          <w:sz w:val="18"/>
          <w:szCs w:val="18"/>
        </w:rPr>
        <w:t>mají</w:t>
      </w:r>
      <w:proofErr w:type="gramEnd"/>
      <w:r>
        <w:rPr>
          <w:rFonts w:cs="Arial"/>
          <w:sz w:val="18"/>
          <w:szCs w:val="18"/>
        </w:rPr>
        <w:t xml:space="preserve"> dlouhodobě zavedený katétr </w:t>
      </w:r>
      <w:proofErr w:type="gramStart"/>
      <w:r>
        <w:rPr>
          <w:rFonts w:cs="Arial"/>
          <w:sz w:val="18"/>
          <w:szCs w:val="18"/>
        </w:rPr>
        <w:t>může</w:t>
      </w:r>
      <w:proofErr w:type="gramEnd"/>
      <w:r>
        <w:rPr>
          <w:rFonts w:cs="Arial"/>
          <w:sz w:val="18"/>
          <w:szCs w:val="18"/>
        </w:rPr>
        <w:t xml:space="preserve"> vyústit v </w:t>
      </w:r>
      <w:hyperlink r:id="rId175" w:tgtFrame="Pyelonefritida (stránka neexistuje)">
        <w:r>
          <w:rPr>
            <w:rStyle w:val="Internetovodkaz"/>
            <w:rFonts w:cs="Arial"/>
            <w:sz w:val="18"/>
            <w:szCs w:val="18"/>
          </w:rPr>
          <w:t>pyelonefritidu</w:t>
        </w:r>
      </w:hyperlink>
      <w:r>
        <w:rPr>
          <w:rFonts w:cs="Arial"/>
          <w:sz w:val="18"/>
          <w:szCs w:val="18"/>
        </w:rPr>
        <w:t>. Je také obávaným agens infekce </w:t>
      </w:r>
      <w:hyperlink r:id="rId176" w:tgtFrame="Popálenina">
        <w:r>
          <w:rPr>
            <w:rStyle w:val="Internetovodkaz"/>
            <w:rFonts w:cs="Arial"/>
            <w:sz w:val="18"/>
            <w:szCs w:val="18"/>
          </w:rPr>
          <w:t>popálenin</w:t>
        </w:r>
      </w:hyperlink>
      <w:r>
        <w:rPr>
          <w:rFonts w:cs="Arial"/>
          <w:sz w:val="18"/>
          <w:szCs w:val="18"/>
        </w:rPr>
        <w:t>. Je značně rezistentní vůči antibiotikům a je pečlivě sledována v lékařství, hygienické a potravinářské mikrobiologii. Léčí se kombinací piperacilinu (jeden z ureidopenicilinů) v kombinaci s inhibitory beta - laktamáz. Některé kmeny jsou také citlivé na </w:t>
      </w:r>
      <w:hyperlink r:id="rId177" w:tgtFrame="Aminoglykosidy">
        <w:r>
          <w:rPr>
            <w:rStyle w:val="Internetovodkaz"/>
            <w:rFonts w:cs="Arial"/>
            <w:sz w:val="18"/>
            <w:szCs w:val="18"/>
          </w:rPr>
          <w:t>aminoglykosidy</w:t>
        </w:r>
      </w:hyperlink>
      <w:r>
        <w:rPr>
          <w:rFonts w:cs="Arial"/>
          <w:sz w:val="18"/>
          <w:szCs w:val="18"/>
        </w:rPr>
        <w:t>, </w:t>
      </w:r>
      <w:hyperlink r:id="rId178" w:tgtFrame="Karbapenem">
        <w:r>
          <w:rPr>
            <w:rStyle w:val="Internetovodkaz"/>
            <w:rFonts w:cs="Arial"/>
            <w:sz w:val="18"/>
            <w:szCs w:val="18"/>
          </w:rPr>
          <w:t>karbapenemy</w:t>
        </w:r>
      </w:hyperlink>
      <w:r>
        <w:rPr>
          <w:rFonts w:cs="Arial"/>
          <w:sz w:val="18"/>
          <w:szCs w:val="18"/>
        </w:rPr>
        <w:t> (</w:t>
      </w:r>
      <w:hyperlink r:id="rId179" w:tgtFrame="Imipenem (stránka neexistuje)">
        <w:r>
          <w:rPr>
            <w:rStyle w:val="Internetovodkaz"/>
            <w:rFonts w:cs="Arial"/>
            <w:sz w:val="18"/>
            <w:szCs w:val="18"/>
          </w:rPr>
          <w:t>imipenem</w:t>
        </w:r>
      </w:hyperlink>
      <w:r>
        <w:rPr>
          <w:rFonts w:cs="Arial"/>
          <w:sz w:val="18"/>
          <w:szCs w:val="18"/>
        </w:rPr>
        <w:t>) a </w:t>
      </w:r>
      <w:hyperlink r:id="rId180" w:tgtFrame="Ciprofloxacin (stránka neexistuje)">
        <w:r>
          <w:rPr>
            <w:rStyle w:val="Internetovodkaz"/>
            <w:rFonts w:cs="Arial"/>
            <w:sz w:val="18"/>
            <w:szCs w:val="18"/>
          </w:rPr>
          <w:t>ciprofloxacin</w:t>
        </w:r>
      </w:hyperlink>
      <w:r>
        <w:rPr>
          <w:rFonts w:cs="Arial"/>
          <w:sz w:val="18"/>
          <w:szCs w:val="18"/>
        </w:rPr>
        <w:t>.</w:t>
      </w:r>
    </w:p>
    <w:p w:rsidR="00287B1D" w:rsidRDefault="00BB6CB9">
      <w:pPr>
        <w:spacing w:line="240" w:lineRule="auto"/>
        <w:ind w:left="-426"/>
        <w:rPr>
          <w:rFonts w:cstheme="minorHAnsi"/>
          <w:sz w:val="14"/>
          <w:szCs w:val="14"/>
        </w:rPr>
      </w:pPr>
      <w:proofErr w:type="gramStart"/>
      <w:r>
        <w:rPr>
          <w:sz w:val="14"/>
          <w:szCs w:val="14"/>
        </w:rPr>
        <w:t>Obr.19</w:t>
      </w:r>
      <w:proofErr w:type="gramEnd"/>
      <w:r>
        <w:rPr>
          <w:sz w:val="14"/>
          <w:szCs w:val="14"/>
        </w:rPr>
        <w:t xml:space="preserve">; </w:t>
      </w:r>
      <w:proofErr w:type="gramStart"/>
      <w:r>
        <w:rPr>
          <w:sz w:val="14"/>
          <w:szCs w:val="14"/>
        </w:rPr>
        <w:t>Graf.11</w:t>
      </w:r>
      <w:proofErr w:type="gramEnd"/>
      <w:r>
        <w:rPr>
          <w:sz w:val="14"/>
          <w:szCs w:val="14"/>
        </w:rPr>
        <w:t xml:space="preserve"> Sledovaná Pseudomonas aeruginosa (SS40), závislost účinnosti reaktoru UV-C LED VTI v systému AQ3 Mini v grafu, inaktivace Pseudomonas aeruginosa ( průtok/%) a příslušná tabulka </w:t>
      </w:r>
      <w:r>
        <w:rPr>
          <w:sz w:val="14"/>
          <w:szCs w:val="14"/>
          <w:lang w:val="en-US"/>
        </w:rPr>
        <w:t>η</w:t>
      </w:r>
      <w:r>
        <w:rPr>
          <w:sz w:val="14"/>
          <w:szCs w:val="14"/>
        </w:rPr>
        <w:t xml:space="preserve"> v %, Pseudomonas Aeruginosa, </w:t>
      </w:r>
      <w:r>
        <w:rPr>
          <w:rFonts w:cstheme="minorHAnsi"/>
          <w:sz w:val="14"/>
          <w:szCs w:val="14"/>
        </w:rPr>
        <w:t>vyskytující se v kontaminované vodě, AQ3 Mini   zachytí, deaktivuje</w:t>
      </w:r>
    </w:p>
    <w:p w:rsidR="00287B1D" w:rsidRDefault="00287B1D">
      <w:pPr>
        <w:spacing w:line="240" w:lineRule="auto"/>
        <w:ind w:left="-426"/>
        <w:rPr>
          <w:rFonts w:cstheme="minorHAnsi"/>
          <w:sz w:val="14"/>
          <w:szCs w:val="14"/>
        </w:rPr>
      </w:pPr>
    </w:p>
    <w:p w:rsidR="00287B1D" w:rsidRDefault="00BB6CB9">
      <w:r>
        <w:rPr>
          <w:noProof/>
          <w:lang w:eastAsia="cs-CZ"/>
        </w:rPr>
        <w:drawing>
          <wp:anchor distT="0" distB="0" distL="114300" distR="114300" simplePos="0" relativeHeight="65" behindDoc="0" locked="0" layoutInCell="1" allowOverlap="1">
            <wp:simplePos x="0" y="0"/>
            <wp:positionH relativeFrom="column">
              <wp:posOffset>4125595</wp:posOffset>
            </wp:positionH>
            <wp:positionV relativeFrom="paragraph">
              <wp:posOffset>73025</wp:posOffset>
            </wp:positionV>
            <wp:extent cx="1852295" cy="1018540"/>
            <wp:effectExtent l="0" t="0" r="0" b="0"/>
            <wp:wrapSquare wrapText="bothSides"/>
            <wp:docPr id="87"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ázek 51"/>
                    <pic:cNvPicPr>
                      <a:picLocks noChangeAspect="1" noChangeArrowheads="1"/>
                    </pic:cNvPicPr>
                  </pic:nvPicPr>
                  <pic:blipFill>
                    <a:blip r:embed="rId181"/>
                    <a:stretch>
                      <a:fillRect/>
                    </a:stretch>
                  </pic:blipFill>
                  <pic:spPr bwMode="auto">
                    <a:xfrm>
                      <a:off x="0" y="0"/>
                      <a:ext cx="1852295" cy="1018540"/>
                    </a:xfrm>
                    <a:prstGeom prst="rect">
                      <a:avLst/>
                    </a:prstGeom>
                  </pic:spPr>
                </pic:pic>
              </a:graphicData>
            </a:graphic>
          </wp:anchor>
        </w:drawing>
      </w:r>
      <w:r>
        <w:rPr>
          <w:noProof/>
          <w:lang w:eastAsia="cs-CZ"/>
        </w:rPr>
        <w:drawing>
          <wp:inline distT="0" distB="0" distL="0" distR="0">
            <wp:extent cx="1751330" cy="1249680"/>
            <wp:effectExtent l="0" t="0" r="0" b="0"/>
            <wp:docPr id="88" name="Obrázek 95" descr="Bakteriofág.svg WIKIPEDIA COMMONS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brázek 95" descr="Bakteriofág.svg WIKIPEDIA COMMONS b"/>
                    <pic:cNvPicPr>
                      <a:picLocks noChangeAspect="1" noChangeArrowheads="1"/>
                    </pic:cNvPicPr>
                  </pic:nvPicPr>
                  <pic:blipFill>
                    <a:blip r:embed="rId182"/>
                    <a:stretch>
                      <a:fillRect/>
                    </a:stretch>
                  </pic:blipFill>
                  <pic:spPr bwMode="auto">
                    <a:xfrm>
                      <a:off x="0" y="0"/>
                      <a:ext cx="1751330" cy="1249680"/>
                    </a:xfrm>
                    <a:prstGeom prst="rect">
                      <a:avLst/>
                    </a:prstGeom>
                  </pic:spPr>
                </pic:pic>
              </a:graphicData>
            </a:graphic>
          </wp:inline>
        </w:drawing>
      </w:r>
      <w:r>
        <w:t xml:space="preserve">  </w:t>
      </w:r>
      <w:r>
        <w:rPr>
          <w:noProof/>
          <w:lang w:eastAsia="cs-CZ"/>
        </w:rPr>
        <w:drawing>
          <wp:inline distT="0" distB="0" distL="0" distR="0">
            <wp:extent cx="1897380" cy="1285875"/>
            <wp:effectExtent l="0" t="0" r="0" b="0"/>
            <wp:docPr id="89"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ázek 37"/>
                    <pic:cNvPicPr>
                      <a:picLocks noChangeAspect="1" noChangeArrowheads="1"/>
                    </pic:cNvPicPr>
                  </pic:nvPicPr>
                  <pic:blipFill>
                    <a:blip r:embed="rId183"/>
                    <a:stretch>
                      <a:fillRect/>
                    </a:stretch>
                  </pic:blipFill>
                  <pic:spPr bwMode="auto">
                    <a:xfrm>
                      <a:off x="0" y="0"/>
                      <a:ext cx="1897380" cy="1285875"/>
                    </a:xfrm>
                    <a:prstGeom prst="rect">
                      <a:avLst/>
                    </a:prstGeom>
                  </pic:spPr>
                </pic:pic>
              </a:graphicData>
            </a:graphic>
          </wp:inline>
        </w:drawing>
      </w:r>
      <w:r>
        <w:t xml:space="preserve"> </w:t>
      </w:r>
    </w:p>
    <w:p w:rsidR="00287B1D" w:rsidRDefault="00BB6CB9">
      <w:r>
        <w:rPr>
          <w:noProof/>
          <w:lang w:eastAsia="cs-CZ"/>
        </w:rPr>
        <w:drawing>
          <wp:inline distT="0" distB="0" distL="0" distR="0">
            <wp:extent cx="1066800" cy="114300"/>
            <wp:effectExtent l="0" t="0" r="0" b="0"/>
            <wp:docPr id="90"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brázek 35"/>
                    <pic:cNvPicPr>
                      <a:picLocks noChangeAspect="1" noChangeArrowheads="1"/>
                    </pic:cNvPicPr>
                  </pic:nvPicPr>
                  <pic:blipFill>
                    <a:blip r:embed="rId184"/>
                    <a:stretch>
                      <a:fillRect/>
                    </a:stretch>
                  </pic:blipFill>
                  <pic:spPr bwMode="auto">
                    <a:xfrm>
                      <a:off x="0" y="0"/>
                      <a:ext cx="1066800" cy="114300"/>
                    </a:xfrm>
                    <a:prstGeom prst="rect">
                      <a:avLst/>
                    </a:prstGeom>
                  </pic:spPr>
                </pic:pic>
              </a:graphicData>
            </a:graphic>
          </wp:inline>
        </w:drawing>
      </w:r>
    </w:p>
    <w:p w:rsidR="00287B1D" w:rsidRDefault="00BB6CB9">
      <w:pPr>
        <w:ind w:left="-426" w:right="425"/>
        <w:jc w:val="both"/>
        <w:rPr>
          <w:color w:val="000099"/>
          <w:sz w:val="18"/>
          <w:szCs w:val="18"/>
          <w:u w:val="single"/>
        </w:rPr>
      </w:pPr>
      <w:r>
        <w:rPr>
          <w:rFonts w:cs="Arial"/>
          <w:b/>
          <w:i/>
          <w:sz w:val="18"/>
          <w:szCs w:val="18"/>
          <w:shd w:val="clear" w:color="auto" w:fill="FFFFFF"/>
        </w:rPr>
        <w:t>Virus Escherichia Qβ</w:t>
      </w:r>
      <w:r>
        <w:rPr>
          <w:rFonts w:cs="Arial"/>
          <w:sz w:val="18"/>
          <w:szCs w:val="18"/>
          <w:shd w:val="clear" w:color="auto" w:fill="FFFFFF"/>
        </w:rPr>
        <w:t xml:space="preserve">, je </w:t>
      </w:r>
      <w:r>
        <w:rPr>
          <w:rFonts w:cs="Arial"/>
          <w:color w:val="000099"/>
          <w:sz w:val="18"/>
          <w:szCs w:val="18"/>
          <w:u w:val="single"/>
          <w:shd w:val="clear" w:color="auto" w:fill="FFFFFF"/>
        </w:rPr>
        <w:t>pozitivní virus RNA</w:t>
      </w:r>
      <w:r>
        <w:rPr>
          <w:rFonts w:cs="Arial"/>
          <w:sz w:val="18"/>
          <w:szCs w:val="18"/>
          <w:shd w:val="clear" w:color="auto" w:fill="FFFFFF"/>
        </w:rPr>
        <w:t xml:space="preserve">, který infikuje bakterie, které mají </w:t>
      </w:r>
      <w:r>
        <w:rPr>
          <w:rFonts w:cs="Arial"/>
          <w:color w:val="000099"/>
          <w:sz w:val="18"/>
          <w:szCs w:val="18"/>
          <w:u w:val="single"/>
          <w:shd w:val="clear" w:color="auto" w:fill="FFFFFF"/>
        </w:rPr>
        <w:t>F-pili</w:t>
      </w:r>
      <w:r>
        <w:rPr>
          <w:rFonts w:cs="Arial"/>
          <w:sz w:val="18"/>
          <w:szCs w:val="18"/>
          <w:shd w:val="clear" w:color="auto" w:fill="FFFFFF"/>
        </w:rPr>
        <w:t>, nejčastěji Escherichia coli. Bakteriofág Qβ vstupuje do své hostitelské buňky po navázání na stranu F-pilusu.</w:t>
      </w:r>
      <w:r>
        <w:rPr>
          <w:sz w:val="18"/>
          <w:szCs w:val="18"/>
        </w:rPr>
        <w:t xml:space="preserve"> </w:t>
      </w:r>
      <w:r>
        <w:rPr>
          <w:rFonts w:ascii="Arial" w:hAnsi="Arial" w:cs="Arial"/>
          <w:color w:val="000099"/>
          <w:sz w:val="21"/>
          <w:szCs w:val="21"/>
          <w:u w:val="single"/>
          <w:shd w:val="clear" w:color="auto" w:fill="FFFFFF"/>
        </w:rPr>
        <w:t>Virus Escherichia Qβ</w:t>
      </w:r>
      <w:r>
        <w:rPr>
          <w:color w:val="000099"/>
          <w:sz w:val="18"/>
          <w:szCs w:val="18"/>
        </w:rPr>
        <w:t xml:space="preserve"> </w:t>
      </w:r>
      <w:r>
        <w:rPr>
          <w:sz w:val="18"/>
          <w:szCs w:val="18"/>
        </w:rPr>
        <w:t xml:space="preserve">je virus pozitivního řetězce </w:t>
      </w:r>
      <w:r>
        <w:rPr>
          <w:color w:val="000099"/>
          <w:sz w:val="18"/>
          <w:szCs w:val="18"/>
          <w:u w:val="single"/>
        </w:rPr>
        <w:t>RNA</w:t>
      </w:r>
      <w:r>
        <w:rPr>
          <w:sz w:val="18"/>
          <w:szCs w:val="18"/>
        </w:rPr>
        <w:t xml:space="preserve">, který infikuje bakterie, které mají F-pili, nejčastěji </w:t>
      </w:r>
      <w:r>
        <w:rPr>
          <w:sz w:val="18"/>
          <w:szCs w:val="18"/>
        </w:rPr>
        <w:lastRenderedPageBreak/>
        <w:t xml:space="preserve">Escherichia coli. Jeho lineární genom je zabalen do </w:t>
      </w:r>
      <w:r>
        <w:rPr>
          <w:color w:val="000099"/>
          <w:sz w:val="18"/>
          <w:szCs w:val="18"/>
          <w:u w:val="single"/>
        </w:rPr>
        <w:t>ikosahedrální kapsidy</w:t>
      </w:r>
      <w:r>
        <w:rPr>
          <w:color w:val="000099"/>
          <w:sz w:val="18"/>
          <w:szCs w:val="18"/>
        </w:rPr>
        <w:t xml:space="preserve"> </w:t>
      </w:r>
      <w:r>
        <w:rPr>
          <w:sz w:val="18"/>
          <w:szCs w:val="18"/>
        </w:rPr>
        <w:t xml:space="preserve">o průměru 28 nm. Genom Qβ je přibližně 4 217 nukleotidů, v závislosti na zdroji, který sekvenoval virus. Qβ byl izolován po celém světě, několikrát, s různými poddruhy, které kódují téměř identické proteiny, ale mohou mít velmi odlišné nukleotidové sekvence. Genom má tři otevřené čtecí rámce, které kódují </w:t>
      </w:r>
      <w:r>
        <w:rPr>
          <w:b/>
          <w:color w:val="000099"/>
          <w:sz w:val="18"/>
          <w:szCs w:val="18"/>
        </w:rPr>
        <w:t>čtyři proteiny</w:t>
      </w:r>
      <w:r>
        <w:rPr>
          <w:sz w:val="18"/>
          <w:szCs w:val="18"/>
        </w:rPr>
        <w:t xml:space="preserve">: protein maturace/lýzy A2; obalový protein; přečtení děravého stop kodonu v obalovém proteinu, nazývaném A1; a  β - podjednotka RNA - dependentní RNA - polymerázy (RdRp) se nazývá replikáza. Genom je vysoce strukturovaný, reguluje genovou expresi a chrání se před hostitelskými </w:t>
      </w:r>
      <w:r>
        <w:rPr>
          <w:b/>
          <w:color w:val="000099"/>
          <w:sz w:val="18"/>
          <w:szCs w:val="18"/>
        </w:rPr>
        <w:t>RNázami</w:t>
      </w:r>
      <w:r>
        <w:rPr>
          <w:sz w:val="18"/>
          <w:szCs w:val="18"/>
        </w:rPr>
        <w:t xml:space="preserve">. V kapsidě je přibližně 178 kopií obalového proteinu a/nebo Al. Nejčastěji uznávanými příklady faktorů virulence kódovaných fágem jsou </w:t>
      </w:r>
      <w:r>
        <w:rPr>
          <w:color w:val="000099"/>
          <w:sz w:val="18"/>
          <w:szCs w:val="18"/>
          <w:u w:val="single"/>
        </w:rPr>
        <w:t>exotoxiny</w:t>
      </w:r>
      <w:r>
        <w:rPr>
          <w:sz w:val="18"/>
          <w:szCs w:val="18"/>
        </w:rPr>
        <w:t xml:space="preserve">, což je hlavní faktor několika </w:t>
      </w:r>
      <w:r>
        <w:rPr>
          <w:color w:val="000099"/>
          <w:sz w:val="18"/>
          <w:szCs w:val="18"/>
          <w:u w:val="single"/>
        </w:rPr>
        <w:t>bakteriálních patogenů, včetně cholery, záškrtu a botulismu.</w:t>
      </w:r>
    </w:p>
    <w:p w:rsidR="00287B1D" w:rsidRDefault="00BB6CB9">
      <w:pPr>
        <w:spacing w:line="240" w:lineRule="auto"/>
        <w:ind w:left="-426" w:right="425"/>
        <w:rPr>
          <w:rFonts w:cstheme="minorHAnsi"/>
          <w:sz w:val="14"/>
          <w:szCs w:val="14"/>
        </w:rPr>
      </w:pPr>
      <w:proofErr w:type="gramStart"/>
      <w:r>
        <w:rPr>
          <w:sz w:val="14"/>
          <w:szCs w:val="14"/>
        </w:rPr>
        <w:t>Obr.20</w:t>
      </w:r>
      <w:proofErr w:type="gramEnd"/>
      <w:r>
        <w:rPr>
          <w:sz w:val="14"/>
          <w:szCs w:val="14"/>
        </w:rPr>
        <w:t xml:space="preserve">; </w:t>
      </w:r>
      <w:proofErr w:type="gramStart"/>
      <w:r>
        <w:rPr>
          <w:sz w:val="14"/>
          <w:szCs w:val="14"/>
        </w:rPr>
        <w:t>Graf.12</w:t>
      </w:r>
      <w:proofErr w:type="gramEnd"/>
      <w:r>
        <w:rPr>
          <w:sz w:val="14"/>
          <w:szCs w:val="14"/>
        </w:rPr>
        <w:t xml:space="preserve"> Sledovaný  Bakteriophage Qβ (Q Beta), závislost účinnosti reaktoru UV-C LED VTI v systému AQ3 Mini v grafu, inaktivace (Q Beta) (průtok/%) a příslušná tabulka </w:t>
      </w:r>
      <w:r>
        <w:rPr>
          <w:sz w:val="14"/>
          <w:szCs w:val="14"/>
          <w:lang w:val="en-US"/>
        </w:rPr>
        <w:t>η</w:t>
      </w:r>
      <w:r>
        <w:rPr>
          <w:sz w:val="14"/>
          <w:szCs w:val="14"/>
        </w:rPr>
        <w:t xml:space="preserve"> v %, Escherichii Qβ Beta, </w:t>
      </w:r>
      <w:r>
        <w:rPr>
          <w:rFonts w:cstheme="minorHAnsi"/>
          <w:sz w:val="14"/>
          <w:szCs w:val="14"/>
        </w:rPr>
        <w:t>vyskytující se v kontaminované vodě, AQ3 Mini   zachytí, deaktivuje</w:t>
      </w:r>
    </w:p>
    <w:p w:rsidR="00287B1D" w:rsidRDefault="00BB6CB9">
      <w:pPr>
        <w:spacing w:line="240" w:lineRule="auto"/>
        <w:ind w:left="-426" w:right="425"/>
        <w:jc w:val="center"/>
        <w:rPr>
          <w:rFonts w:cstheme="minorHAnsi"/>
          <w:b/>
          <w:i/>
          <w:sz w:val="18"/>
          <w:szCs w:val="18"/>
        </w:rPr>
      </w:pPr>
      <w:r>
        <w:rPr>
          <w:noProof/>
          <w:lang w:eastAsia="cs-CZ"/>
        </w:rPr>
        <w:drawing>
          <wp:inline distT="0" distB="0" distL="0" distR="0">
            <wp:extent cx="2501900" cy="1560830"/>
            <wp:effectExtent l="0" t="0" r="0" b="0"/>
            <wp:docPr id="91" name="Obrázek 94" descr="Afrika prohlášena za prostou obrny, poliomyelitidy, kterou způsobují divoké poliovi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ázek 94" descr="Afrika prohlášena za prostou obrny, poliomyelitidy, kterou způsobují divoké polioviry"/>
                    <pic:cNvPicPr>
                      <a:picLocks noChangeAspect="1" noChangeArrowheads="1"/>
                    </pic:cNvPicPr>
                  </pic:nvPicPr>
                  <pic:blipFill>
                    <a:blip r:embed="rId185"/>
                    <a:stretch>
                      <a:fillRect/>
                    </a:stretch>
                  </pic:blipFill>
                  <pic:spPr bwMode="auto">
                    <a:xfrm>
                      <a:off x="0" y="0"/>
                      <a:ext cx="2501900" cy="1560830"/>
                    </a:xfrm>
                    <a:prstGeom prst="rect">
                      <a:avLst/>
                    </a:prstGeom>
                  </pic:spPr>
                </pic:pic>
              </a:graphicData>
            </a:graphic>
          </wp:inline>
        </w:drawing>
      </w:r>
    </w:p>
    <w:p w:rsidR="00287B1D" w:rsidRDefault="00BB6CB9">
      <w:pPr>
        <w:spacing w:line="240" w:lineRule="auto"/>
        <w:ind w:left="-426" w:right="425"/>
        <w:jc w:val="center"/>
        <w:rPr>
          <w:rFonts w:ascii="Segoe UI Black" w:hAnsi="Segoe UI Black" w:cstheme="minorHAnsi"/>
          <w:b/>
          <w:i/>
          <w:sz w:val="14"/>
          <w:szCs w:val="14"/>
        </w:rPr>
      </w:pPr>
      <w:proofErr w:type="gramStart"/>
      <w:r>
        <w:rPr>
          <w:rFonts w:ascii="Segoe UI Black" w:hAnsi="Segoe UI Black" w:cstheme="minorHAnsi"/>
          <w:b/>
          <w:i/>
          <w:sz w:val="14"/>
          <w:szCs w:val="14"/>
        </w:rPr>
        <w:t>Obr.a) Polioviry</w:t>
      </w:r>
      <w:proofErr w:type="gramEnd"/>
    </w:p>
    <w:p w:rsidR="00287B1D" w:rsidRDefault="00BB6CB9">
      <w:pPr>
        <w:spacing w:line="240" w:lineRule="auto"/>
        <w:ind w:left="-426" w:right="425"/>
        <w:jc w:val="center"/>
        <w:rPr>
          <w:rFonts w:cstheme="minorHAnsi"/>
          <w:sz w:val="18"/>
          <w:szCs w:val="18"/>
        </w:rPr>
      </w:pPr>
      <w:r>
        <w:rPr>
          <w:rFonts w:cstheme="minorHAnsi"/>
          <w:sz w:val="18"/>
          <w:szCs w:val="18"/>
        </w:rPr>
        <w:t xml:space="preserve">Polioviry </w:t>
      </w:r>
      <w:r>
        <w:rPr>
          <w:rFonts w:cstheme="minorHAnsi"/>
          <w:color w:val="FF0000"/>
          <w:sz w:val="18"/>
          <w:szCs w:val="18"/>
        </w:rPr>
        <w:t xml:space="preserve">(Poliomyelitis anterior acuta) </w:t>
      </w:r>
      <w:r>
        <w:rPr>
          <w:rFonts w:cstheme="minorHAnsi"/>
          <w:sz w:val="18"/>
          <w:szCs w:val="18"/>
        </w:rPr>
        <w:t>– čeleď Picornaviridae z rodu Enterovirů</w:t>
      </w:r>
    </w:p>
    <w:p w:rsidR="00287B1D" w:rsidRDefault="00287B1D">
      <w:pPr>
        <w:spacing w:line="240" w:lineRule="auto"/>
        <w:ind w:left="-426" w:right="425"/>
        <w:jc w:val="center"/>
        <w:rPr>
          <w:rFonts w:ascii="Segoe UI Black" w:hAnsi="Segoe UI Black" w:cstheme="minorHAnsi"/>
          <w:b/>
          <w:i/>
          <w:sz w:val="14"/>
          <w:szCs w:val="14"/>
        </w:rPr>
      </w:pPr>
    </w:p>
    <w:p w:rsidR="00287B1D" w:rsidRDefault="00BB6CB9">
      <w:pPr>
        <w:spacing w:line="240" w:lineRule="auto"/>
        <w:ind w:left="-426" w:right="425"/>
        <w:jc w:val="both"/>
        <w:rPr>
          <w:rFonts w:cstheme="minorHAnsi"/>
          <w:sz w:val="18"/>
          <w:szCs w:val="18"/>
        </w:rPr>
      </w:pPr>
      <w:proofErr w:type="gramStart"/>
      <w:r>
        <w:rPr>
          <w:rFonts w:cstheme="minorHAnsi"/>
          <w:b/>
          <w:i/>
          <w:sz w:val="18"/>
          <w:szCs w:val="18"/>
        </w:rPr>
        <w:t>Polioviry</w:t>
      </w:r>
      <w:r>
        <w:rPr>
          <w:rFonts w:cstheme="minorHAnsi"/>
          <w:sz w:val="18"/>
          <w:szCs w:val="18"/>
        </w:rPr>
        <w:t>,  jsou</w:t>
      </w:r>
      <w:proofErr w:type="gramEnd"/>
      <w:r>
        <w:rPr>
          <w:rFonts w:cstheme="minorHAnsi"/>
          <w:sz w:val="18"/>
          <w:szCs w:val="18"/>
        </w:rPr>
        <w:t xml:space="preserve"> tři typy příbuzných virů odpovědných za  vznik infekční dětské obrny. Šíří </w:t>
      </w:r>
      <w:proofErr w:type="gramStart"/>
      <w:r>
        <w:rPr>
          <w:rFonts w:cstheme="minorHAnsi"/>
          <w:sz w:val="18"/>
          <w:szCs w:val="18"/>
        </w:rPr>
        <w:t xml:space="preserve">se  </w:t>
      </w:r>
      <w:r>
        <w:rPr>
          <w:rFonts w:cstheme="minorHAnsi"/>
          <w:b/>
          <w:color w:val="FF0000"/>
          <w:sz w:val="18"/>
          <w:szCs w:val="18"/>
        </w:rPr>
        <w:t>kontaminovanou</w:t>
      </w:r>
      <w:proofErr w:type="gramEnd"/>
      <w:r>
        <w:rPr>
          <w:rFonts w:cstheme="minorHAnsi"/>
          <w:b/>
          <w:color w:val="FF0000"/>
          <w:sz w:val="18"/>
          <w:szCs w:val="18"/>
        </w:rPr>
        <w:t xml:space="preserve"> vodou</w:t>
      </w:r>
      <w:r>
        <w:rPr>
          <w:rFonts w:cstheme="minorHAnsi"/>
          <w:sz w:val="18"/>
          <w:szCs w:val="18"/>
        </w:rPr>
        <w:t xml:space="preserve">,  potravinami a kapénkovou infekcí. Jsou nebezpečné zejména </w:t>
      </w:r>
      <w:proofErr w:type="gramStart"/>
      <w:r>
        <w:rPr>
          <w:rFonts w:cstheme="minorHAnsi"/>
          <w:sz w:val="18"/>
          <w:szCs w:val="18"/>
        </w:rPr>
        <w:t>pro  neočkované</w:t>
      </w:r>
      <w:proofErr w:type="gramEnd"/>
      <w:r>
        <w:rPr>
          <w:rFonts w:cstheme="minorHAnsi"/>
          <w:sz w:val="18"/>
          <w:szCs w:val="18"/>
        </w:rPr>
        <w:t xml:space="preserve"> osoby. Vede k parézám svalů faryngu, laryngu, jazyka a mimiky s možným šířením na dýchací svaly a na srdce. </w:t>
      </w:r>
      <w:r>
        <w:rPr>
          <w:rFonts w:cstheme="minorHAnsi"/>
          <w:b/>
          <w:sz w:val="18"/>
          <w:szCs w:val="18"/>
        </w:rPr>
        <w:t>Zanechává vážné trvalé následky</w:t>
      </w:r>
      <w:r>
        <w:rPr>
          <w:rFonts w:cstheme="minorHAnsi"/>
          <w:sz w:val="18"/>
          <w:szCs w:val="18"/>
        </w:rPr>
        <w:t xml:space="preserve">. </w:t>
      </w:r>
    </w:p>
    <w:p w:rsidR="00287B1D" w:rsidRDefault="00BB6CB9">
      <w:pPr>
        <w:spacing w:line="240" w:lineRule="auto"/>
        <w:ind w:left="-426" w:right="425"/>
        <w:rPr>
          <w:rFonts w:cstheme="minorHAnsi"/>
          <w:sz w:val="14"/>
          <w:szCs w:val="14"/>
        </w:rPr>
      </w:pPr>
      <w:r>
        <w:rPr>
          <w:rFonts w:cstheme="minorHAnsi"/>
          <w:sz w:val="14"/>
          <w:szCs w:val="14"/>
        </w:rPr>
        <w:t xml:space="preserve">Obr.21a) Sledované Polioviry vyskytující se v kontaminované vodě, AQ3 </w:t>
      </w:r>
      <w:proofErr w:type="gramStart"/>
      <w:r>
        <w:rPr>
          <w:rFonts w:cstheme="minorHAnsi"/>
          <w:sz w:val="14"/>
          <w:szCs w:val="14"/>
        </w:rPr>
        <w:t>Mini   zachytí</w:t>
      </w:r>
      <w:proofErr w:type="gramEnd"/>
      <w:r>
        <w:rPr>
          <w:rFonts w:cstheme="minorHAnsi"/>
          <w:sz w:val="14"/>
          <w:szCs w:val="14"/>
        </w:rPr>
        <w:t>, deaktivuje</w:t>
      </w:r>
    </w:p>
    <w:p w:rsidR="00287B1D" w:rsidRDefault="00287B1D">
      <w:pPr>
        <w:spacing w:line="240" w:lineRule="auto"/>
        <w:ind w:left="-426" w:right="425"/>
        <w:rPr>
          <w:rFonts w:cstheme="minorHAnsi"/>
          <w:sz w:val="14"/>
          <w:szCs w:val="14"/>
        </w:rPr>
      </w:pPr>
    </w:p>
    <w:p w:rsidR="00287B1D" w:rsidRDefault="00BB6CB9">
      <w:pPr>
        <w:spacing w:line="240" w:lineRule="auto"/>
        <w:ind w:left="-426" w:right="425"/>
        <w:jc w:val="center"/>
        <w:rPr>
          <w:rFonts w:cstheme="minorHAnsi"/>
          <w:b/>
          <w:sz w:val="14"/>
          <w:szCs w:val="14"/>
        </w:rPr>
      </w:pPr>
      <w:r>
        <w:rPr>
          <w:rFonts w:eastAsia="Times New Roman" w:cs="Times New Roman"/>
          <w:b/>
          <w:sz w:val="18"/>
          <w:szCs w:val="18"/>
          <w:lang w:eastAsia="cs-CZ"/>
        </w:rPr>
        <w:t>Clostridium</w:t>
      </w:r>
    </w:p>
    <w:p w:rsidR="00287B1D" w:rsidRDefault="00287B1D">
      <w:pPr>
        <w:spacing w:line="240" w:lineRule="auto"/>
        <w:ind w:left="-426" w:right="425"/>
        <w:rPr>
          <w:rFonts w:cstheme="minorHAnsi"/>
          <w:sz w:val="14"/>
          <w:szCs w:val="14"/>
        </w:rPr>
      </w:pPr>
    </w:p>
    <w:p w:rsidR="00287B1D" w:rsidRDefault="00BB6CB9">
      <w:pPr>
        <w:spacing w:after="0"/>
        <w:rPr>
          <w:lang w:eastAsia="cs-CZ"/>
        </w:rPr>
      </w:pPr>
      <w:r>
        <w:rPr>
          <w:noProof/>
          <w:lang w:eastAsia="cs-CZ"/>
        </w:rPr>
        <w:drawing>
          <wp:inline distT="0" distB="0" distL="0" distR="0">
            <wp:extent cx="855980" cy="676275"/>
            <wp:effectExtent l="0" t="0" r="0" b="0"/>
            <wp:docPr id="92" name="Obrázek 104" descr="Když v senáži číhá smrt | EQUICHANNEL.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Obrázek 104" descr="Když v senáži číhá smrt | EQUICHANNEL.cz"/>
                    <pic:cNvPicPr>
                      <a:picLocks noChangeAspect="1" noChangeArrowheads="1"/>
                    </pic:cNvPicPr>
                  </pic:nvPicPr>
                  <pic:blipFill>
                    <a:blip r:embed="rId186"/>
                    <a:stretch>
                      <a:fillRect/>
                    </a:stretch>
                  </pic:blipFill>
                  <pic:spPr bwMode="auto">
                    <a:xfrm>
                      <a:off x="0" y="0"/>
                      <a:ext cx="855980" cy="676275"/>
                    </a:xfrm>
                    <a:prstGeom prst="rect">
                      <a:avLst/>
                    </a:prstGeom>
                  </pic:spPr>
                </pic:pic>
              </a:graphicData>
            </a:graphic>
          </wp:inline>
        </w:drawing>
      </w:r>
      <w:r>
        <w:rPr>
          <w:lang w:eastAsia="cs-CZ"/>
        </w:rPr>
        <w:t xml:space="preserve">             </w:t>
      </w:r>
      <w:r>
        <w:rPr>
          <w:noProof/>
          <w:lang w:eastAsia="cs-CZ"/>
        </w:rPr>
        <w:drawing>
          <wp:inline distT="0" distB="0" distL="0" distR="0">
            <wp:extent cx="905510" cy="692150"/>
            <wp:effectExtent l="0" t="0" r="0" b="0"/>
            <wp:docPr id="93" name="Obrázek 105" descr="Fekální transplantace: Výborná záležitost nevábného názvu – EpochálníSvět.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Obrázek 105" descr="Fekální transplantace: Výborná záležitost nevábného názvu – EpochálníSvět.cz"/>
                    <pic:cNvPicPr>
                      <a:picLocks noChangeAspect="1" noChangeArrowheads="1"/>
                    </pic:cNvPicPr>
                  </pic:nvPicPr>
                  <pic:blipFill>
                    <a:blip r:embed="rId187"/>
                    <a:stretch>
                      <a:fillRect/>
                    </a:stretch>
                  </pic:blipFill>
                  <pic:spPr bwMode="auto">
                    <a:xfrm>
                      <a:off x="0" y="0"/>
                      <a:ext cx="905510" cy="692150"/>
                    </a:xfrm>
                    <a:prstGeom prst="rect">
                      <a:avLst/>
                    </a:prstGeom>
                  </pic:spPr>
                </pic:pic>
              </a:graphicData>
            </a:graphic>
          </wp:inline>
        </w:drawing>
      </w:r>
      <w:r>
        <w:rPr>
          <w:lang w:eastAsia="cs-CZ"/>
        </w:rPr>
        <w:t xml:space="preserve">            </w:t>
      </w:r>
      <w:r>
        <w:rPr>
          <w:noProof/>
          <w:lang w:eastAsia="cs-CZ"/>
        </w:rPr>
        <w:drawing>
          <wp:inline distT="0" distB="0" distL="0" distR="0">
            <wp:extent cx="923925" cy="692150"/>
            <wp:effectExtent l="0" t="0" r="0" b="0"/>
            <wp:docPr id="94" name="Obrázek 103" descr="GALERIE: Chlapce málem zabil tetanus, rodiče ho odmítli očkovat. Léčba  stála 18 milionů | FOTO 4 | Blesk.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Obrázek 103" descr="GALERIE: Chlapce málem zabil tetanus, rodiče ho odmítli očkovat. Léčba  stála 18 milionů | FOTO 4 | Blesk.cz"/>
                    <pic:cNvPicPr>
                      <a:picLocks noChangeAspect="1" noChangeArrowheads="1"/>
                    </pic:cNvPicPr>
                  </pic:nvPicPr>
                  <pic:blipFill>
                    <a:blip r:embed="rId188"/>
                    <a:stretch>
                      <a:fillRect/>
                    </a:stretch>
                  </pic:blipFill>
                  <pic:spPr bwMode="auto">
                    <a:xfrm>
                      <a:off x="0" y="0"/>
                      <a:ext cx="923925" cy="692150"/>
                    </a:xfrm>
                    <a:prstGeom prst="rect">
                      <a:avLst/>
                    </a:prstGeom>
                  </pic:spPr>
                </pic:pic>
              </a:graphicData>
            </a:graphic>
          </wp:inline>
        </w:drawing>
      </w:r>
      <w:r>
        <w:rPr>
          <w:lang w:eastAsia="cs-CZ"/>
        </w:rPr>
        <w:t xml:space="preserve">        </w:t>
      </w:r>
      <w:r>
        <w:rPr>
          <w:noProof/>
          <w:lang w:eastAsia="cs-CZ"/>
        </w:rPr>
        <w:drawing>
          <wp:inline distT="0" distB="0" distL="0" distR="0">
            <wp:extent cx="1439545" cy="654685"/>
            <wp:effectExtent l="0" t="0" r="0" b="0"/>
            <wp:docPr id="95" name="Obrázek 65" descr="Clostridium perfring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brázek 65" descr="Clostridium perfringens"/>
                    <pic:cNvPicPr>
                      <a:picLocks noChangeAspect="1" noChangeArrowheads="1"/>
                    </pic:cNvPicPr>
                  </pic:nvPicPr>
                  <pic:blipFill>
                    <a:blip r:embed="rId189"/>
                    <a:stretch>
                      <a:fillRect/>
                    </a:stretch>
                  </pic:blipFill>
                  <pic:spPr bwMode="auto">
                    <a:xfrm>
                      <a:off x="0" y="0"/>
                      <a:ext cx="1439545" cy="654685"/>
                    </a:xfrm>
                    <a:prstGeom prst="rect">
                      <a:avLst/>
                    </a:prstGeom>
                  </pic:spPr>
                </pic:pic>
              </a:graphicData>
            </a:graphic>
          </wp:inline>
        </w:drawing>
      </w:r>
    </w:p>
    <w:p w:rsidR="00287B1D" w:rsidRDefault="00BB6CB9">
      <w:pPr>
        <w:spacing w:after="0"/>
        <w:ind w:left="-426"/>
        <w:rPr>
          <w:lang w:eastAsia="cs-CZ"/>
        </w:rPr>
      </w:pPr>
      <w:proofErr w:type="gramStart"/>
      <w:r>
        <w:rPr>
          <w:rFonts w:ascii="Segoe UI Black" w:hAnsi="Segoe UI Black"/>
          <w:sz w:val="14"/>
          <w:szCs w:val="14"/>
        </w:rPr>
        <w:t>Obr.b) Clostridium</w:t>
      </w:r>
      <w:proofErr w:type="gramEnd"/>
      <w:r>
        <w:rPr>
          <w:rFonts w:ascii="Segoe UI Black" w:hAnsi="Segoe UI Black"/>
          <w:sz w:val="14"/>
          <w:szCs w:val="14"/>
        </w:rPr>
        <w:t xml:space="preserve"> Botulinum             Obr. c) Clostridium Difficle                 Obr. č) Clostridium Tetani            Obr.č</w:t>
      </w:r>
      <w:r>
        <w:rPr>
          <w:rFonts w:ascii="Segoe UI Black" w:hAnsi="Segoe UI Black"/>
          <w:sz w:val="14"/>
          <w:szCs w:val="14"/>
          <w:vertAlign w:val="superscript"/>
        </w:rPr>
        <w:t>1</w:t>
      </w:r>
      <w:r>
        <w:rPr>
          <w:rFonts w:ascii="Segoe UI Black" w:hAnsi="Segoe UI Black"/>
          <w:sz w:val="14"/>
          <w:szCs w:val="14"/>
        </w:rPr>
        <w:t xml:space="preserve">) Clostridium Perfringens                      </w:t>
      </w:r>
    </w:p>
    <w:p w:rsidR="00287B1D" w:rsidRDefault="00287B1D">
      <w:pPr>
        <w:spacing w:after="0"/>
        <w:rPr>
          <w:sz w:val="18"/>
          <w:szCs w:val="18"/>
        </w:rPr>
      </w:pPr>
    </w:p>
    <w:p w:rsidR="00287B1D" w:rsidRDefault="00BB6CB9">
      <w:pPr>
        <w:spacing w:after="0"/>
        <w:jc w:val="center"/>
        <w:rPr>
          <w:sz w:val="18"/>
          <w:szCs w:val="18"/>
        </w:rPr>
      </w:pPr>
      <w:r>
        <w:rPr>
          <w:sz w:val="18"/>
          <w:szCs w:val="18"/>
        </w:rPr>
        <w:t>Clostridium</w:t>
      </w:r>
      <w:r>
        <w:rPr>
          <w:color w:val="FF0000"/>
          <w:sz w:val="18"/>
          <w:szCs w:val="18"/>
        </w:rPr>
        <w:t xml:space="preserve"> (Botulinum, Difficile, Tetani, P</w:t>
      </w:r>
      <w:r>
        <w:rPr>
          <w:rFonts w:eastAsia="Times New Roman" w:cs="Times New Roman"/>
          <w:color w:val="FF0000"/>
          <w:sz w:val="18"/>
          <w:szCs w:val="18"/>
          <w:lang w:eastAsia="cs-CZ"/>
        </w:rPr>
        <w:t>erfringens</w:t>
      </w:r>
      <w:r>
        <w:rPr>
          <w:color w:val="FF0000"/>
          <w:sz w:val="18"/>
          <w:szCs w:val="18"/>
        </w:rPr>
        <w:t>)</w:t>
      </w:r>
      <w:r>
        <w:rPr>
          <w:sz w:val="18"/>
          <w:szCs w:val="18"/>
        </w:rPr>
        <w:t xml:space="preserve">  - vysoce bakteriální </w:t>
      </w:r>
      <w:r>
        <w:rPr>
          <w:color w:val="000000" w:themeColor="text1"/>
          <w:sz w:val="18"/>
          <w:szCs w:val="18"/>
        </w:rPr>
        <w:t>endospory</w:t>
      </w:r>
    </w:p>
    <w:p w:rsidR="00287B1D" w:rsidRDefault="00287B1D">
      <w:pPr>
        <w:spacing w:after="0"/>
        <w:rPr>
          <w:color w:val="FF0000"/>
          <w:sz w:val="18"/>
          <w:szCs w:val="18"/>
        </w:rPr>
      </w:pPr>
    </w:p>
    <w:p w:rsidR="00287B1D" w:rsidRDefault="00BB6CB9">
      <w:pPr>
        <w:spacing w:after="0"/>
        <w:ind w:left="-426"/>
        <w:jc w:val="both"/>
        <w:rPr>
          <w:rFonts w:cs="Arial"/>
          <w:color w:val="202122"/>
          <w:sz w:val="18"/>
          <w:szCs w:val="18"/>
          <w:highlight w:val="white"/>
        </w:rPr>
      </w:pPr>
      <w:r>
        <w:rPr>
          <w:rFonts w:cs="Arial"/>
          <w:color w:val="202122"/>
          <w:sz w:val="18"/>
          <w:szCs w:val="18"/>
          <w:shd w:val="clear" w:color="auto" w:fill="FFFFFF"/>
        </w:rPr>
        <w:t>Výskyt </w:t>
      </w:r>
      <w:r>
        <w:rPr>
          <w:rFonts w:cs="Arial"/>
          <w:i/>
          <w:iCs/>
          <w:color w:val="202122"/>
          <w:sz w:val="18"/>
          <w:szCs w:val="18"/>
          <w:shd w:val="clear" w:color="auto" w:fill="FFFFFF"/>
        </w:rPr>
        <w:t>Clostridií</w:t>
      </w:r>
      <w:r>
        <w:rPr>
          <w:rFonts w:cs="Arial"/>
          <w:color w:val="202122"/>
          <w:sz w:val="18"/>
          <w:szCs w:val="18"/>
          <w:shd w:val="clear" w:color="auto" w:fill="FFFFFF"/>
        </w:rPr>
        <w:t xml:space="preserve"> je hojný v půdách, kde se podílí na hnilobných procesech. Dále je nacházíme ve </w:t>
      </w:r>
      <w:r>
        <w:rPr>
          <w:rFonts w:cs="Arial"/>
          <w:b/>
          <w:color w:val="FF0000"/>
          <w:sz w:val="18"/>
          <w:szCs w:val="18"/>
          <w:shd w:val="clear" w:color="auto" w:fill="FFFFFF"/>
        </w:rPr>
        <w:t>vodách</w:t>
      </w:r>
      <w:r>
        <w:rPr>
          <w:rFonts w:cs="Arial"/>
          <w:color w:val="202122"/>
          <w:sz w:val="18"/>
          <w:szCs w:val="18"/>
          <w:shd w:val="clear" w:color="auto" w:fill="FFFFFF"/>
        </w:rPr>
        <w:t>, při kontrole čistoty </w:t>
      </w:r>
      <w:hyperlink r:id="rId190" w:tgtFrame="Pitná voda">
        <w:r>
          <w:rPr>
            <w:rStyle w:val="Internetovodkaz"/>
            <w:rFonts w:cs="Arial"/>
            <w:color w:val="0B0080"/>
            <w:sz w:val="18"/>
            <w:szCs w:val="18"/>
            <w:highlight w:val="white"/>
          </w:rPr>
          <w:t>pitné vody</w:t>
        </w:r>
      </w:hyperlink>
      <w:r>
        <w:rPr>
          <w:rFonts w:cs="Arial"/>
          <w:color w:val="202122"/>
          <w:sz w:val="18"/>
          <w:szCs w:val="18"/>
          <w:shd w:val="clear" w:color="auto" w:fill="FFFFFF"/>
        </w:rPr>
        <w:t> je výskyt těchto bakterií </w:t>
      </w:r>
      <w:hyperlink r:id="rId191" w:tgtFrame="Mezní hodnota (stránka neexistuje)">
        <w:r>
          <w:rPr>
            <w:rStyle w:val="Internetovodkaz"/>
            <w:rFonts w:cs="Arial"/>
            <w:color w:val="A55858"/>
            <w:sz w:val="18"/>
            <w:szCs w:val="18"/>
            <w:highlight w:val="white"/>
          </w:rPr>
          <w:t>mezní hodnotou</w:t>
        </w:r>
      </w:hyperlink>
      <w:r>
        <w:rPr>
          <w:rFonts w:cs="Arial"/>
          <w:color w:val="202122"/>
          <w:sz w:val="18"/>
          <w:szCs w:val="18"/>
          <w:shd w:val="clear" w:color="auto" w:fill="FFFFFF"/>
        </w:rPr>
        <w:t>. Také v prachu a někdy kontaminují potraviny. </w:t>
      </w:r>
      <w:r>
        <w:rPr>
          <w:rFonts w:cs="Arial"/>
          <w:i/>
          <w:iCs/>
          <w:color w:val="202122"/>
          <w:sz w:val="18"/>
          <w:szCs w:val="18"/>
          <w:shd w:val="clear" w:color="auto" w:fill="FFFFFF"/>
        </w:rPr>
        <w:t>Clostridium</w:t>
      </w:r>
      <w:r>
        <w:rPr>
          <w:rFonts w:cs="Arial"/>
          <w:color w:val="202122"/>
          <w:sz w:val="18"/>
          <w:szCs w:val="18"/>
          <w:shd w:val="clear" w:color="auto" w:fill="FFFFFF"/>
        </w:rPr>
        <w:t> se též minoritně vyskytuje jako </w:t>
      </w:r>
      <w:hyperlink r:id="rId192" w:tgtFrame="Epifyt">
        <w:r>
          <w:rPr>
            <w:rStyle w:val="Internetovodkaz"/>
            <w:rFonts w:cs="Arial"/>
            <w:color w:val="0B0080"/>
            <w:sz w:val="18"/>
            <w:szCs w:val="18"/>
            <w:highlight w:val="white"/>
          </w:rPr>
          <w:t>epifytní</w:t>
        </w:r>
      </w:hyperlink>
      <w:r>
        <w:rPr>
          <w:rFonts w:cs="Arial"/>
          <w:color w:val="202122"/>
          <w:sz w:val="18"/>
          <w:szCs w:val="18"/>
          <w:shd w:val="clear" w:color="auto" w:fill="FFFFFF"/>
        </w:rPr>
        <w:t> mikroflóra na rostlinách, kde produkuje kyselinu máselnou. Clostridium se též vyskytuje jako </w:t>
      </w:r>
      <w:hyperlink r:id="rId193" w:tgtFrame="Amylolytické bakterie (stránka neexistuje)">
        <w:r>
          <w:rPr>
            <w:rStyle w:val="Internetovodkaz"/>
            <w:rFonts w:cs="Arial"/>
            <w:color w:val="A55858"/>
            <w:sz w:val="18"/>
            <w:szCs w:val="18"/>
            <w:highlight w:val="white"/>
          </w:rPr>
          <w:t>amylolytická</w:t>
        </w:r>
      </w:hyperlink>
      <w:r>
        <w:rPr>
          <w:rFonts w:cs="Arial"/>
          <w:color w:val="202122"/>
          <w:sz w:val="18"/>
          <w:szCs w:val="18"/>
          <w:shd w:val="clear" w:color="auto" w:fill="FFFFFF"/>
        </w:rPr>
        <w:t> bakterie v </w:t>
      </w:r>
      <w:hyperlink r:id="rId194" w:tgtFrame="Bachor">
        <w:r>
          <w:rPr>
            <w:rStyle w:val="Internetovodkaz"/>
            <w:rFonts w:cs="Arial"/>
            <w:color w:val="0B0080"/>
            <w:sz w:val="18"/>
            <w:szCs w:val="18"/>
            <w:highlight w:val="white"/>
          </w:rPr>
          <w:t>bachoru</w:t>
        </w:r>
      </w:hyperlink>
      <w:r>
        <w:rPr>
          <w:rFonts w:cs="Arial"/>
          <w:color w:val="202122"/>
          <w:sz w:val="18"/>
          <w:szCs w:val="18"/>
          <w:shd w:val="clear" w:color="auto" w:fill="FFFFFF"/>
        </w:rPr>
        <w:t> a je součástí střevní mikroflóry i u jiných živočichů.</w:t>
      </w:r>
    </w:p>
    <w:p w:rsidR="00287B1D" w:rsidRDefault="00287B1D">
      <w:pPr>
        <w:spacing w:after="0"/>
        <w:ind w:left="-426" w:firstLine="426"/>
        <w:jc w:val="both"/>
        <w:rPr>
          <w:rFonts w:cs="Arial"/>
          <w:color w:val="202122"/>
          <w:sz w:val="18"/>
          <w:szCs w:val="18"/>
          <w:highlight w:val="white"/>
        </w:rPr>
      </w:pPr>
    </w:p>
    <w:p w:rsidR="00287B1D" w:rsidRDefault="00BB6CB9">
      <w:pPr>
        <w:spacing w:after="0"/>
        <w:ind w:left="-426"/>
        <w:rPr>
          <w:rFonts w:cs="Arial"/>
          <w:color w:val="000000"/>
          <w:sz w:val="18"/>
          <w:szCs w:val="18"/>
          <w:highlight w:val="white"/>
        </w:rPr>
      </w:pPr>
      <w:r>
        <w:rPr>
          <w:rFonts w:cs="Arial"/>
          <w:b/>
          <w:i/>
          <w:color w:val="000000"/>
          <w:sz w:val="18"/>
          <w:szCs w:val="18"/>
          <w:shd w:val="clear" w:color="auto" w:fill="FFFFFF"/>
        </w:rPr>
        <w:lastRenderedPageBreak/>
        <w:t>Clostridium botulinum</w:t>
      </w:r>
      <w:r>
        <w:rPr>
          <w:rFonts w:cs="Arial"/>
          <w:color w:val="000000"/>
          <w:sz w:val="18"/>
          <w:szCs w:val="18"/>
          <w:shd w:val="clear" w:color="auto" w:fill="FFFFFF"/>
        </w:rPr>
        <w:t xml:space="preserve">, </w:t>
      </w:r>
      <w:r>
        <w:rPr>
          <w:rFonts w:cs="Arial"/>
          <w:sz w:val="18"/>
          <w:szCs w:val="18"/>
          <w:shd w:val="clear" w:color="auto" w:fill="FFFFFF"/>
        </w:rPr>
        <w:t>je velká grampozitivní tyčinkovitá bakterie, která produkuje neurotoxin botulotoxin, způsobující ochrnutí svalů označované jako botulismus.</w:t>
      </w:r>
    </w:p>
    <w:p w:rsidR="00287B1D" w:rsidRDefault="00287B1D">
      <w:pPr>
        <w:spacing w:after="0"/>
        <w:ind w:left="-426" w:firstLine="426"/>
        <w:jc w:val="both"/>
        <w:rPr>
          <w:rFonts w:cs="Arial"/>
          <w:b/>
          <w:bCs/>
          <w:i/>
          <w:iCs/>
          <w:color w:val="202122"/>
          <w:sz w:val="18"/>
          <w:szCs w:val="18"/>
          <w:highlight w:val="white"/>
        </w:rPr>
      </w:pPr>
    </w:p>
    <w:p w:rsidR="00287B1D" w:rsidRDefault="00BB6CB9">
      <w:pPr>
        <w:spacing w:after="0"/>
        <w:ind w:left="-426"/>
        <w:jc w:val="both"/>
        <w:rPr>
          <w:sz w:val="18"/>
          <w:szCs w:val="18"/>
        </w:rPr>
      </w:pPr>
      <w:r>
        <w:rPr>
          <w:rFonts w:cs="Arial"/>
          <w:b/>
          <w:bCs/>
          <w:i/>
          <w:iCs/>
          <w:color w:val="202122"/>
          <w:sz w:val="18"/>
          <w:szCs w:val="18"/>
          <w:shd w:val="clear" w:color="auto" w:fill="FFFFFF"/>
        </w:rPr>
        <w:t>Clostridium difficile</w:t>
      </w:r>
      <w:r>
        <w:rPr>
          <w:rFonts w:cs="Arial"/>
          <w:color w:val="202122"/>
          <w:sz w:val="18"/>
          <w:szCs w:val="18"/>
          <w:shd w:val="clear" w:color="auto" w:fill="FFFFFF"/>
        </w:rPr>
        <w:t>, je </w:t>
      </w:r>
      <w:hyperlink r:id="rId195" w:tgtFrame="Grampozitivní bakterie">
        <w:r>
          <w:rPr>
            <w:rStyle w:val="Internetovodkaz"/>
            <w:rFonts w:cs="Arial"/>
            <w:color w:val="0B0080"/>
            <w:sz w:val="18"/>
            <w:szCs w:val="18"/>
            <w:highlight w:val="white"/>
          </w:rPr>
          <w:t>grampozitivní</w:t>
        </w:r>
      </w:hyperlink>
      <w:r>
        <w:rPr>
          <w:rFonts w:cs="Arial"/>
          <w:color w:val="202122"/>
          <w:sz w:val="18"/>
          <w:szCs w:val="18"/>
          <w:shd w:val="clear" w:color="auto" w:fill="FFFFFF"/>
        </w:rPr>
        <w:t> </w:t>
      </w:r>
      <w:hyperlink r:id="rId196" w:tgtFrame="Bakterie">
        <w:r>
          <w:rPr>
            <w:rStyle w:val="Internetovodkaz"/>
            <w:rFonts w:cs="Arial"/>
            <w:color w:val="0B0080"/>
            <w:sz w:val="18"/>
            <w:szCs w:val="18"/>
            <w:highlight w:val="white"/>
          </w:rPr>
          <w:t>bakterie</w:t>
        </w:r>
      </w:hyperlink>
      <w:r>
        <w:rPr>
          <w:rFonts w:cs="Arial"/>
          <w:color w:val="202122"/>
          <w:sz w:val="18"/>
          <w:szCs w:val="18"/>
          <w:shd w:val="clear" w:color="auto" w:fill="FFFFFF"/>
        </w:rPr>
        <w:t> z rodu </w:t>
      </w:r>
      <w:hyperlink r:id="rId197" w:tgtFrame="Clostridium">
        <w:r>
          <w:rPr>
            <w:rStyle w:val="Internetovodkaz"/>
            <w:rFonts w:cs="Arial"/>
            <w:i/>
            <w:iCs/>
            <w:color w:val="0B0080"/>
            <w:sz w:val="18"/>
            <w:szCs w:val="18"/>
            <w:highlight w:val="white"/>
          </w:rPr>
          <w:t>Clostridium</w:t>
        </w:r>
      </w:hyperlink>
      <w:r>
        <w:rPr>
          <w:rFonts w:cs="Arial"/>
          <w:color w:val="202122"/>
          <w:sz w:val="18"/>
          <w:szCs w:val="18"/>
          <w:shd w:val="clear" w:color="auto" w:fill="FFFFFF"/>
        </w:rPr>
        <w:t>, která způsobuje </w:t>
      </w:r>
      <w:hyperlink r:id="rId198" w:tgtFrame="Průjem">
        <w:r>
          <w:rPr>
            <w:rStyle w:val="Internetovodkaz"/>
            <w:rFonts w:cs="Arial"/>
            <w:color w:val="0B0080"/>
            <w:sz w:val="18"/>
            <w:szCs w:val="18"/>
            <w:highlight w:val="white"/>
          </w:rPr>
          <w:t>průjem</w:t>
        </w:r>
      </w:hyperlink>
      <w:r>
        <w:rPr>
          <w:rFonts w:cs="Arial"/>
          <w:color w:val="202122"/>
          <w:sz w:val="18"/>
          <w:szCs w:val="18"/>
          <w:shd w:val="clear" w:color="auto" w:fill="FFFFFF"/>
        </w:rPr>
        <w:t> nebo jiná onemocnění </w:t>
      </w:r>
      <w:hyperlink r:id="rId199" w:tgtFrame="Trávicí soustava">
        <w:r>
          <w:rPr>
            <w:rStyle w:val="Internetovodkaz"/>
            <w:rFonts w:cs="Arial"/>
            <w:color w:val="0B0080"/>
            <w:sz w:val="18"/>
            <w:szCs w:val="18"/>
            <w:highlight w:val="white"/>
          </w:rPr>
          <w:t>trávicího traktu</w:t>
        </w:r>
      </w:hyperlink>
      <w:r>
        <w:rPr>
          <w:rFonts w:cs="Arial"/>
          <w:color w:val="202122"/>
          <w:sz w:val="18"/>
          <w:szCs w:val="18"/>
          <w:shd w:val="clear" w:color="auto" w:fill="FFFFFF"/>
        </w:rPr>
        <w:t> v situacích, kdy je běžná </w:t>
      </w:r>
      <w:hyperlink r:id="rId200" w:tgtFrame="Střevní mikroflóra">
        <w:r>
          <w:rPr>
            <w:rStyle w:val="Internetovodkaz"/>
            <w:rFonts w:cs="Arial"/>
            <w:color w:val="0B0080"/>
            <w:sz w:val="18"/>
            <w:szCs w:val="18"/>
            <w:highlight w:val="white"/>
          </w:rPr>
          <w:t>střevní mikroflóra</w:t>
        </w:r>
      </w:hyperlink>
      <w:r>
        <w:rPr>
          <w:rFonts w:cs="Arial"/>
          <w:color w:val="202122"/>
          <w:sz w:val="18"/>
          <w:szCs w:val="18"/>
          <w:shd w:val="clear" w:color="auto" w:fill="FFFFFF"/>
        </w:rPr>
        <w:t> potlačena </w:t>
      </w:r>
      <w:hyperlink r:id="rId201" w:tgtFrame="Antibiotikum">
        <w:r>
          <w:rPr>
            <w:rStyle w:val="Internetovodkaz"/>
            <w:rFonts w:cs="Arial"/>
            <w:color w:val="0B0080"/>
            <w:sz w:val="18"/>
            <w:szCs w:val="18"/>
            <w:highlight w:val="white"/>
          </w:rPr>
          <w:t>antibiotiky</w:t>
        </w:r>
      </w:hyperlink>
      <w:r>
        <w:rPr>
          <w:rFonts w:cs="Arial"/>
          <w:color w:val="202122"/>
          <w:sz w:val="18"/>
          <w:szCs w:val="18"/>
          <w:shd w:val="clear" w:color="auto" w:fill="FFFFFF"/>
        </w:rPr>
        <w:t>. Klostridia jsou </w:t>
      </w:r>
      <w:hyperlink r:id="rId202" w:tgtFrame="Anaerobní bakterie">
        <w:r>
          <w:rPr>
            <w:rStyle w:val="Internetovodkaz"/>
            <w:rFonts w:cs="Arial"/>
            <w:color w:val="0B0080"/>
            <w:sz w:val="18"/>
            <w:szCs w:val="18"/>
            <w:highlight w:val="white"/>
          </w:rPr>
          <w:t>anaerobní</w:t>
        </w:r>
      </w:hyperlink>
      <w:r>
        <w:rPr>
          <w:rFonts w:cs="Arial"/>
          <w:color w:val="202122"/>
          <w:sz w:val="18"/>
          <w:szCs w:val="18"/>
          <w:shd w:val="clear" w:color="auto" w:fill="FFFFFF"/>
        </w:rPr>
        <w:t> </w:t>
      </w:r>
      <w:hyperlink r:id="rId203" w:tgtFrame="Endospora">
        <w:r>
          <w:rPr>
            <w:rStyle w:val="Internetovodkaz"/>
            <w:rFonts w:cs="Arial"/>
            <w:color w:val="0B0080"/>
            <w:sz w:val="18"/>
            <w:szCs w:val="18"/>
            <w:highlight w:val="white"/>
          </w:rPr>
          <w:t>sporulující</w:t>
        </w:r>
      </w:hyperlink>
      <w:r>
        <w:rPr>
          <w:rFonts w:cs="Arial"/>
          <w:color w:val="202122"/>
          <w:sz w:val="18"/>
          <w:szCs w:val="18"/>
          <w:shd w:val="clear" w:color="auto" w:fill="FFFFFF"/>
        </w:rPr>
        <w:t> tyčinky. </w:t>
      </w:r>
      <w:r>
        <w:rPr>
          <w:rFonts w:cs="Arial"/>
          <w:i/>
          <w:iCs/>
          <w:color w:val="202122"/>
          <w:sz w:val="18"/>
          <w:szCs w:val="18"/>
          <w:shd w:val="clear" w:color="auto" w:fill="FFFFFF"/>
        </w:rPr>
        <w:t>C. difficile</w:t>
      </w:r>
      <w:r>
        <w:rPr>
          <w:rFonts w:cs="Arial"/>
          <w:color w:val="202122"/>
          <w:sz w:val="18"/>
          <w:szCs w:val="18"/>
          <w:shd w:val="clear" w:color="auto" w:fill="FFFFFF"/>
        </w:rPr>
        <w:t> je nejzávažnějším původcem průjmů spjatých s </w:t>
      </w:r>
      <w:hyperlink r:id="rId204" w:tgtFrame="Antibiotikum">
        <w:r>
          <w:rPr>
            <w:rStyle w:val="Internetovodkaz"/>
            <w:rFonts w:cs="Arial"/>
            <w:color w:val="0B0080"/>
            <w:sz w:val="18"/>
            <w:szCs w:val="18"/>
            <w:highlight w:val="white"/>
          </w:rPr>
          <w:t>antibiotiky</w:t>
        </w:r>
      </w:hyperlink>
      <w:r>
        <w:rPr>
          <w:rFonts w:cs="Arial"/>
          <w:color w:val="202122"/>
          <w:sz w:val="18"/>
          <w:szCs w:val="18"/>
          <w:shd w:val="clear" w:color="auto" w:fill="FFFFFF"/>
        </w:rPr>
        <w:t> (ADD) a může způsobovat </w:t>
      </w:r>
      <w:hyperlink r:id="rId205" w:tgtFrame="Pseudomembránová kolitida (stránka neexistuje)">
        <w:r>
          <w:rPr>
            <w:rStyle w:val="Internetovodkaz"/>
            <w:rFonts w:cs="Arial"/>
            <w:color w:val="A55858"/>
            <w:sz w:val="18"/>
            <w:szCs w:val="18"/>
            <w:highlight w:val="white"/>
          </w:rPr>
          <w:t>pseudomembránovou kolitidu</w:t>
        </w:r>
      </w:hyperlink>
      <w:r>
        <w:rPr>
          <w:rFonts w:cs="Arial"/>
          <w:color w:val="202122"/>
          <w:sz w:val="18"/>
          <w:szCs w:val="18"/>
          <w:shd w:val="clear" w:color="auto" w:fill="FFFFFF"/>
        </w:rPr>
        <w:t>, vážnou infekci </w:t>
      </w:r>
      <w:hyperlink r:id="rId206" w:tgtFrame="Střevo">
        <w:r>
          <w:rPr>
            <w:rStyle w:val="Internetovodkaz"/>
            <w:rFonts w:cs="Arial"/>
            <w:color w:val="0B0080"/>
            <w:sz w:val="18"/>
            <w:szCs w:val="18"/>
            <w:highlight w:val="white"/>
          </w:rPr>
          <w:t>střeva</w:t>
        </w:r>
      </w:hyperlink>
      <w:r>
        <w:rPr>
          <w:rFonts w:cs="Arial"/>
          <w:color w:val="202122"/>
          <w:sz w:val="18"/>
          <w:szCs w:val="18"/>
          <w:shd w:val="clear" w:color="auto" w:fill="FFFFFF"/>
        </w:rPr>
        <w:t>, často vznikající potlačením normální střevní flóry antibiotiky.</w:t>
      </w:r>
      <w:r>
        <w:rPr>
          <w:sz w:val="18"/>
          <w:szCs w:val="18"/>
        </w:rPr>
        <w:t xml:space="preserve"> </w:t>
      </w:r>
    </w:p>
    <w:p w:rsidR="00287B1D" w:rsidRDefault="00287B1D">
      <w:pPr>
        <w:spacing w:after="0"/>
        <w:ind w:left="-426" w:firstLine="426"/>
        <w:jc w:val="both"/>
        <w:rPr>
          <w:sz w:val="18"/>
          <w:szCs w:val="18"/>
        </w:rPr>
      </w:pPr>
    </w:p>
    <w:p w:rsidR="00287B1D" w:rsidRDefault="00BB6CB9">
      <w:pPr>
        <w:spacing w:after="0"/>
        <w:ind w:left="-426"/>
        <w:jc w:val="both"/>
        <w:rPr>
          <w:rFonts w:cs="Arial"/>
          <w:color w:val="212529"/>
          <w:sz w:val="18"/>
          <w:szCs w:val="18"/>
          <w:highlight w:val="white"/>
        </w:rPr>
      </w:pPr>
      <w:r>
        <w:rPr>
          <w:rFonts w:cs="Arial"/>
          <w:b/>
          <w:bCs/>
          <w:i/>
          <w:iCs/>
          <w:color w:val="202122"/>
          <w:sz w:val="18"/>
          <w:szCs w:val="18"/>
          <w:shd w:val="clear" w:color="auto" w:fill="FFFFFF"/>
        </w:rPr>
        <w:t>Clostridium tetani</w:t>
      </w:r>
      <w:r>
        <w:rPr>
          <w:rFonts w:cs="Arial"/>
          <w:bCs/>
          <w:iCs/>
          <w:color w:val="202122"/>
          <w:sz w:val="18"/>
          <w:szCs w:val="18"/>
          <w:shd w:val="clear" w:color="auto" w:fill="FFFFFF"/>
        </w:rPr>
        <w:t xml:space="preserve">, </w:t>
      </w:r>
      <w:r>
        <w:rPr>
          <w:rFonts w:cs="Arial"/>
          <w:bCs/>
          <w:iCs/>
          <w:sz w:val="18"/>
          <w:szCs w:val="18"/>
          <w:shd w:val="clear" w:color="auto" w:fill="FFFFFF"/>
        </w:rPr>
        <w:t>je</w:t>
      </w:r>
      <w:r>
        <w:rPr>
          <w:rFonts w:cs="Arial"/>
          <w:b/>
          <w:bCs/>
          <w:i/>
          <w:iCs/>
          <w:sz w:val="18"/>
          <w:szCs w:val="18"/>
          <w:shd w:val="clear" w:color="auto" w:fill="FFFFFF"/>
        </w:rPr>
        <w:t xml:space="preserve"> </w:t>
      </w:r>
      <w:r>
        <w:rPr>
          <w:rFonts w:cs="Arial"/>
          <w:sz w:val="18"/>
          <w:szCs w:val="18"/>
          <w:shd w:val="clear" w:color="auto" w:fill="FFFFFF"/>
        </w:rPr>
        <w:t xml:space="preserve">grampozitivní tyčinkovitá bakterie rodu Clostridium. Při Gramově barvení připomíná tenisovou raketu nebo paličku k bubnu C. tetani se nachází v podobě spor v půdě nebo jako parazit v trávicí soustavě zvířat. </w:t>
      </w:r>
      <w:r>
        <w:rPr>
          <w:rFonts w:cs="Arial"/>
          <w:color w:val="212529"/>
          <w:sz w:val="18"/>
          <w:szCs w:val="18"/>
          <w:shd w:val="clear" w:color="auto" w:fill="FFFFFF"/>
        </w:rPr>
        <w:t>Nalézá se ve </w:t>
      </w:r>
      <w:r>
        <w:rPr>
          <w:rFonts w:cs="Arial"/>
          <w:b/>
          <w:bCs/>
          <w:color w:val="212529"/>
          <w:sz w:val="18"/>
          <w:szCs w:val="18"/>
          <w:shd w:val="clear" w:color="auto" w:fill="FFFFFF"/>
        </w:rPr>
        <w:t>střevech</w:t>
      </w:r>
      <w:r>
        <w:rPr>
          <w:rFonts w:cs="Arial"/>
          <w:color w:val="212529"/>
          <w:sz w:val="18"/>
          <w:szCs w:val="18"/>
          <w:shd w:val="clear" w:color="auto" w:fill="FFFFFF"/>
        </w:rPr>
        <w:t xml:space="preserve"> savců (často u koní), může být ve střevě člověka. </w:t>
      </w:r>
    </w:p>
    <w:p w:rsidR="00287B1D" w:rsidRDefault="00287B1D">
      <w:pPr>
        <w:spacing w:after="0"/>
        <w:ind w:left="-426"/>
        <w:jc w:val="both"/>
        <w:rPr>
          <w:rFonts w:cs="Arial"/>
          <w:color w:val="212529"/>
          <w:sz w:val="18"/>
          <w:szCs w:val="18"/>
          <w:highlight w:val="white"/>
        </w:rPr>
      </w:pPr>
    </w:p>
    <w:p w:rsidR="00287B1D" w:rsidRDefault="00BB6CB9">
      <w:pPr>
        <w:spacing w:after="0"/>
        <w:ind w:left="-426"/>
        <w:jc w:val="both"/>
        <w:rPr>
          <w:rFonts w:cs="Arial"/>
          <w:color w:val="212529"/>
          <w:sz w:val="18"/>
          <w:szCs w:val="18"/>
          <w:highlight w:val="white"/>
        </w:rPr>
      </w:pPr>
      <w:r>
        <w:rPr>
          <w:rFonts w:cs="Arial"/>
          <w:color w:val="212529"/>
          <w:sz w:val="18"/>
          <w:szCs w:val="18"/>
          <w:shd w:val="clear" w:color="auto" w:fill="FFFFFF"/>
        </w:rPr>
        <w:t xml:space="preserve">Obvykle se nachází v půdě, která je hnojená koňským nebo kravských hnojem a </w:t>
      </w:r>
      <w:r>
        <w:rPr>
          <w:rFonts w:cs="Arial"/>
          <w:color w:val="FF0000"/>
          <w:sz w:val="18"/>
          <w:szCs w:val="18"/>
          <w:shd w:val="clear" w:color="auto" w:fill="FFFFFF"/>
        </w:rPr>
        <w:t>průsakem se dostává do spodních vod.</w:t>
      </w:r>
      <w:r>
        <w:rPr>
          <w:rFonts w:cs="Arial"/>
          <w:color w:val="212529"/>
          <w:sz w:val="18"/>
          <w:szCs w:val="18"/>
          <w:shd w:val="clear" w:color="auto" w:fill="FFFFFF"/>
        </w:rPr>
        <w:t xml:space="preserve"> </w:t>
      </w:r>
      <w:r>
        <w:rPr>
          <w:rFonts w:cs="Arial"/>
          <w:sz w:val="18"/>
          <w:szCs w:val="18"/>
          <w:shd w:val="clear" w:color="auto" w:fill="FFFFFF"/>
        </w:rPr>
        <w:t xml:space="preserve">C. tetani produkuje silný biologický toxin tetanospasmin a je původce onemocnění tetanem. </w:t>
      </w:r>
      <w:r>
        <w:rPr>
          <w:rFonts w:cs="Arial"/>
          <w:color w:val="212529"/>
          <w:sz w:val="18"/>
          <w:szCs w:val="18"/>
          <w:shd w:val="clear" w:color="auto" w:fill="FFFFFF"/>
        </w:rPr>
        <w:t>Tvoří velmi odolné </w:t>
      </w:r>
      <w:r>
        <w:rPr>
          <w:rFonts w:cs="Arial"/>
          <w:b/>
          <w:bCs/>
          <w:color w:val="212529"/>
          <w:sz w:val="18"/>
          <w:szCs w:val="18"/>
          <w:shd w:val="clear" w:color="auto" w:fill="FFFFFF"/>
        </w:rPr>
        <w:t>spóry</w:t>
      </w:r>
      <w:r>
        <w:rPr>
          <w:rFonts w:cs="Arial"/>
          <w:color w:val="212529"/>
          <w:sz w:val="18"/>
          <w:szCs w:val="18"/>
          <w:shd w:val="clear" w:color="auto" w:fill="FFFFFF"/>
        </w:rPr>
        <w:t>, ve kterých může přežívat velice dlouho, zatímco vegetativní formy vlivem kyslíku rychle hynou. </w:t>
      </w:r>
      <w:hyperlink r:id="rId207" w:tgtFrame="Bakteriální spora">
        <w:r>
          <w:rPr>
            <w:rStyle w:val="Internetovodkaz"/>
            <w:rFonts w:cs="Arial"/>
            <w:color w:val="FF0000"/>
            <w:sz w:val="18"/>
            <w:szCs w:val="18"/>
            <w:highlight w:val="white"/>
            <w:u w:val="none"/>
          </w:rPr>
          <w:t>Spóry</w:t>
        </w:r>
      </w:hyperlink>
      <w:r>
        <w:rPr>
          <w:rFonts w:cs="Arial"/>
          <w:color w:val="FF0000"/>
          <w:sz w:val="18"/>
          <w:szCs w:val="18"/>
          <w:shd w:val="clear" w:color="auto" w:fill="FFFFFF"/>
        </w:rPr>
        <w:t> přežívají var a jsou odolné proti většině dezinfekčních činidel</w:t>
      </w:r>
      <w:r>
        <w:rPr>
          <w:rFonts w:cs="Arial"/>
          <w:color w:val="212529"/>
          <w:sz w:val="18"/>
          <w:szCs w:val="18"/>
          <w:shd w:val="clear" w:color="auto" w:fill="FFFFFF"/>
        </w:rPr>
        <w:t>.</w:t>
      </w:r>
    </w:p>
    <w:p w:rsidR="00287B1D" w:rsidRDefault="00287B1D">
      <w:pPr>
        <w:spacing w:after="0"/>
        <w:ind w:left="-426"/>
        <w:jc w:val="both"/>
        <w:rPr>
          <w:rFonts w:cs="Arial"/>
          <w:color w:val="212529"/>
          <w:sz w:val="18"/>
          <w:szCs w:val="18"/>
          <w:highlight w:val="white"/>
        </w:rPr>
      </w:pPr>
    </w:p>
    <w:p w:rsidR="00287B1D" w:rsidRDefault="00BB6CB9">
      <w:pPr>
        <w:shd w:val="clear" w:color="auto" w:fill="FFFFFF"/>
        <w:spacing w:after="345" w:line="240" w:lineRule="auto"/>
        <w:ind w:left="-426" w:right="150"/>
        <w:jc w:val="both"/>
        <w:textAlignment w:val="baseline"/>
        <w:rPr>
          <w:rFonts w:eastAsia="Times New Roman" w:cs="Times New Roman"/>
          <w:color w:val="51514F"/>
          <w:sz w:val="18"/>
          <w:szCs w:val="18"/>
          <w:lang w:eastAsia="cs-CZ"/>
        </w:rPr>
      </w:pPr>
      <w:r>
        <w:rPr>
          <w:rFonts w:eastAsia="Times New Roman" w:cs="Times New Roman"/>
          <w:b/>
          <w:i/>
          <w:color w:val="51514F"/>
          <w:sz w:val="18"/>
          <w:szCs w:val="18"/>
          <w:lang w:eastAsia="cs-CZ"/>
        </w:rPr>
        <w:t>Clostridium perfringens</w:t>
      </w:r>
      <w:r>
        <w:rPr>
          <w:rFonts w:eastAsia="Times New Roman" w:cs="Times New Roman"/>
          <w:color w:val="51514F"/>
          <w:sz w:val="18"/>
          <w:szCs w:val="18"/>
          <w:lang w:eastAsia="cs-CZ"/>
        </w:rPr>
        <w:t xml:space="preserve">, patří mezi nejobvyklejší lidské patogeny. Přítomnost v lidském organismu může způsobovat histotoxické infekce, plynaté gangrény, celulitis. Nejčastěji je však tato bakterie původcem střevních onemocnění (zácpy, průjmy, enteritidy, enterotoxikémie). K nákaze nejčastěji dochází po požití kontaminovaného jídla </w:t>
      </w:r>
      <w:proofErr w:type="gramStart"/>
      <w:r>
        <w:rPr>
          <w:rFonts w:eastAsia="Times New Roman" w:cs="Times New Roman"/>
          <w:color w:val="51514F"/>
          <w:sz w:val="18"/>
          <w:szCs w:val="18"/>
          <w:lang w:eastAsia="cs-CZ"/>
        </w:rPr>
        <w:t xml:space="preserve">či  </w:t>
      </w:r>
      <w:r>
        <w:rPr>
          <w:rFonts w:eastAsia="Times New Roman" w:cs="Times New Roman"/>
          <w:color w:val="FF0000"/>
          <w:sz w:val="18"/>
          <w:szCs w:val="18"/>
          <w:lang w:eastAsia="cs-CZ"/>
        </w:rPr>
        <w:t>vody</w:t>
      </w:r>
      <w:proofErr w:type="gramEnd"/>
      <w:r>
        <w:rPr>
          <w:rFonts w:eastAsia="Times New Roman" w:cs="Times New Roman"/>
          <w:color w:val="51514F"/>
          <w:sz w:val="18"/>
          <w:szCs w:val="18"/>
          <w:lang w:eastAsia="cs-CZ"/>
        </w:rPr>
        <w:t>, při čemž inkubační doba je 8 – 14 hodin a klasickými symptomy jsou průjmy, křeče a bolesti břicha. Horečka se většinou nevyskytuje. Hlavní útočiště poskytuje bakteriím nedostatečně tepelně upravené maso. Často se jedná o maso, které bylo sice dobře připraveno, ale příliš dlouho před konzumací. Je to proto, že Clostridium perfringens tvoří spory, které přežijí teploty při vaření, při dlouhém odstavení jídla vyklíčí a vyvinou se infekční bakteriální kolonie. Stav obvykle vymizí během 24 hodin.</w:t>
      </w:r>
    </w:p>
    <w:p w:rsidR="00287B1D" w:rsidRDefault="00287B1D">
      <w:pPr>
        <w:spacing w:after="0"/>
        <w:ind w:left="-426"/>
        <w:jc w:val="both"/>
        <w:rPr>
          <w:rFonts w:cs="Arial"/>
          <w:bCs/>
          <w:iCs/>
          <w:sz w:val="18"/>
          <w:szCs w:val="18"/>
          <w:highlight w:val="white"/>
        </w:rPr>
      </w:pPr>
    </w:p>
    <w:p w:rsidR="00287B1D" w:rsidRDefault="00287B1D">
      <w:pPr>
        <w:spacing w:after="0"/>
        <w:ind w:left="-426" w:firstLine="426"/>
        <w:jc w:val="both"/>
        <w:rPr>
          <w:sz w:val="18"/>
          <w:szCs w:val="18"/>
        </w:rPr>
      </w:pPr>
    </w:p>
    <w:p w:rsidR="00287B1D" w:rsidRDefault="00BB6CB9">
      <w:pPr>
        <w:spacing w:after="0"/>
        <w:ind w:left="-426"/>
        <w:rPr>
          <w:sz w:val="14"/>
          <w:szCs w:val="14"/>
        </w:rPr>
      </w:pPr>
      <w:proofErr w:type="gramStart"/>
      <w:r>
        <w:rPr>
          <w:rFonts w:cstheme="minorHAnsi"/>
          <w:sz w:val="14"/>
          <w:szCs w:val="14"/>
        </w:rPr>
        <w:t>Obr.22</w:t>
      </w:r>
      <w:proofErr w:type="gramEnd"/>
      <w:r>
        <w:rPr>
          <w:rFonts w:cstheme="minorHAnsi"/>
          <w:sz w:val="14"/>
          <w:szCs w:val="14"/>
        </w:rPr>
        <w:t xml:space="preserve"> b, c, č) Sledované </w:t>
      </w:r>
      <w:r>
        <w:rPr>
          <w:sz w:val="14"/>
          <w:szCs w:val="14"/>
        </w:rPr>
        <w:t xml:space="preserve">Clostridium Botulinum, Clostridium Difficle, Clostridium Tetani, Clostridium Perfringens, </w:t>
      </w:r>
      <w:r>
        <w:rPr>
          <w:rFonts w:cstheme="minorHAnsi"/>
          <w:sz w:val="14"/>
          <w:szCs w:val="14"/>
        </w:rPr>
        <w:t>vyskytující se v kontaminované vodě, AQ3 Mini   zachytí, deaktivuje</w:t>
      </w:r>
    </w:p>
    <w:p w:rsidR="00287B1D" w:rsidRDefault="00287B1D">
      <w:pPr>
        <w:spacing w:after="0"/>
        <w:rPr>
          <w:sz w:val="18"/>
          <w:szCs w:val="18"/>
        </w:rPr>
      </w:pPr>
    </w:p>
    <w:p w:rsidR="00287B1D" w:rsidRDefault="00287B1D">
      <w:pPr>
        <w:spacing w:after="0"/>
        <w:rPr>
          <w:sz w:val="18"/>
          <w:szCs w:val="18"/>
        </w:rPr>
      </w:pPr>
    </w:p>
    <w:p w:rsidR="00287B1D" w:rsidRDefault="00287B1D">
      <w:pPr>
        <w:spacing w:after="0"/>
        <w:rPr>
          <w:sz w:val="18"/>
          <w:szCs w:val="18"/>
        </w:rPr>
      </w:pPr>
    </w:p>
    <w:p w:rsidR="00287B1D" w:rsidRDefault="00287B1D">
      <w:pPr>
        <w:spacing w:after="0"/>
        <w:rPr>
          <w:sz w:val="18"/>
          <w:szCs w:val="18"/>
        </w:rPr>
      </w:pPr>
    </w:p>
    <w:p w:rsidR="00287B1D" w:rsidRDefault="00287B1D">
      <w:pPr>
        <w:spacing w:after="0"/>
        <w:rPr>
          <w:sz w:val="18"/>
          <w:szCs w:val="18"/>
        </w:rPr>
      </w:pPr>
    </w:p>
    <w:p w:rsidR="00287B1D" w:rsidRDefault="00BB6CB9">
      <w:pPr>
        <w:spacing w:after="0"/>
        <w:rPr>
          <w:sz w:val="18"/>
          <w:szCs w:val="18"/>
        </w:rPr>
      </w:pPr>
      <w:r>
        <w:rPr>
          <w:noProof/>
          <w:lang w:eastAsia="cs-CZ"/>
        </w:rPr>
        <w:drawing>
          <wp:inline distT="0" distB="0" distL="0" distR="0">
            <wp:extent cx="2195195" cy="1464945"/>
            <wp:effectExtent l="0" t="0" r="0" b="0"/>
            <wp:docPr id="96" name="Obrázek 106" descr="ActiBio®-BS – how Bacillus subtilis takes ActiBio® to the next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ázek 106" descr="ActiBio®-BS – how Bacillus subtilis takes ActiBio® to the next level"/>
                    <pic:cNvPicPr>
                      <a:picLocks noChangeAspect="1" noChangeArrowheads="1"/>
                    </pic:cNvPicPr>
                  </pic:nvPicPr>
                  <pic:blipFill>
                    <a:blip r:embed="rId208"/>
                    <a:stretch>
                      <a:fillRect/>
                    </a:stretch>
                  </pic:blipFill>
                  <pic:spPr bwMode="auto">
                    <a:xfrm>
                      <a:off x="0" y="0"/>
                      <a:ext cx="2195195" cy="1464945"/>
                    </a:xfrm>
                    <a:prstGeom prst="rect">
                      <a:avLst/>
                    </a:prstGeom>
                  </pic:spPr>
                </pic:pic>
              </a:graphicData>
            </a:graphic>
          </wp:inline>
        </w:drawing>
      </w:r>
      <w:r>
        <w:rPr>
          <w:sz w:val="18"/>
          <w:szCs w:val="18"/>
        </w:rPr>
        <w:t xml:space="preserve">    </w:t>
      </w:r>
      <w:r>
        <w:rPr>
          <w:noProof/>
          <w:lang w:eastAsia="cs-CZ"/>
        </w:rPr>
        <w:drawing>
          <wp:inline distT="0" distB="0" distL="0" distR="0">
            <wp:extent cx="1877695" cy="1470660"/>
            <wp:effectExtent l="0" t="0" r="0" b="0"/>
            <wp:docPr id="97" name="Obrázek 107" descr="Antrax – WikiSkrip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brázek 107" descr="Antrax – WikiSkripta"/>
                    <pic:cNvPicPr>
                      <a:picLocks noChangeAspect="1" noChangeArrowheads="1"/>
                    </pic:cNvPicPr>
                  </pic:nvPicPr>
                  <pic:blipFill>
                    <a:blip r:embed="rId209"/>
                    <a:stretch>
                      <a:fillRect/>
                    </a:stretch>
                  </pic:blipFill>
                  <pic:spPr bwMode="auto">
                    <a:xfrm>
                      <a:off x="0" y="0"/>
                      <a:ext cx="1877695" cy="1470660"/>
                    </a:xfrm>
                    <a:prstGeom prst="rect">
                      <a:avLst/>
                    </a:prstGeom>
                  </pic:spPr>
                </pic:pic>
              </a:graphicData>
            </a:graphic>
          </wp:inline>
        </w:drawing>
      </w:r>
      <w:r>
        <w:rPr>
          <w:sz w:val="18"/>
          <w:szCs w:val="18"/>
        </w:rPr>
        <w:t xml:space="preserve">    </w:t>
      </w:r>
      <w:r>
        <w:rPr>
          <w:noProof/>
          <w:lang w:eastAsia="cs-CZ"/>
        </w:rPr>
        <w:drawing>
          <wp:inline distT="0" distB="0" distL="0" distR="0">
            <wp:extent cx="1604645" cy="1471930"/>
            <wp:effectExtent l="0" t="0" r="0" b="0"/>
            <wp:docPr id="98" name="Obrázek 17" descr="Bacillus cer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Obrázek 17" descr="Bacillus cereus"/>
                    <pic:cNvPicPr>
                      <a:picLocks noChangeAspect="1" noChangeArrowheads="1"/>
                    </pic:cNvPicPr>
                  </pic:nvPicPr>
                  <pic:blipFill>
                    <a:blip r:embed="rId210"/>
                    <a:stretch>
                      <a:fillRect/>
                    </a:stretch>
                  </pic:blipFill>
                  <pic:spPr bwMode="auto">
                    <a:xfrm>
                      <a:off x="0" y="0"/>
                      <a:ext cx="1604645" cy="1471930"/>
                    </a:xfrm>
                    <a:prstGeom prst="rect">
                      <a:avLst/>
                    </a:prstGeom>
                  </pic:spPr>
                </pic:pic>
              </a:graphicData>
            </a:graphic>
          </wp:inline>
        </w:drawing>
      </w:r>
    </w:p>
    <w:p w:rsidR="00287B1D" w:rsidRDefault="00BB6CB9">
      <w:pPr>
        <w:spacing w:after="0"/>
        <w:rPr>
          <w:rFonts w:ascii="Segoe UI Black" w:hAnsi="Segoe UI Black"/>
          <w:sz w:val="14"/>
          <w:szCs w:val="14"/>
        </w:rPr>
      </w:pPr>
      <w:r>
        <w:rPr>
          <w:rFonts w:ascii="Segoe UI Black" w:hAnsi="Segoe UI Black"/>
          <w:sz w:val="14"/>
          <w:szCs w:val="14"/>
        </w:rPr>
        <w:t xml:space="preserve">                       Obr. d) Bacillus Subtillis</w:t>
      </w:r>
      <w:r>
        <w:rPr>
          <w:rFonts w:ascii="Segoe UI Black" w:hAnsi="Segoe UI Black"/>
          <w:sz w:val="14"/>
          <w:szCs w:val="14"/>
        </w:rPr>
        <w:tab/>
      </w:r>
      <w:r>
        <w:rPr>
          <w:rFonts w:ascii="Segoe UI Black" w:hAnsi="Segoe UI Black"/>
          <w:sz w:val="14"/>
          <w:szCs w:val="14"/>
        </w:rPr>
        <w:tab/>
        <w:t xml:space="preserve">                Obr. d</w:t>
      </w:r>
      <w:r>
        <w:rPr>
          <w:rFonts w:ascii="Segoe UI Black" w:hAnsi="Segoe UI Black"/>
          <w:sz w:val="14"/>
          <w:szCs w:val="14"/>
          <w:vertAlign w:val="superscript"/>
        </w:rPr>
        <w:t>1</w:t>
      </w:r>
      <w:r>
        <w:rPr>
          <w:rFonts w:ascii="Segoe UI Black" w:hAnsi="Segoe UI Black"/>
          <w:sz w:val="14"/>
          <w:szCs w:val="14"/>
        </w:rPr>
        <w:t xml:space="preserve">) Bacillus </w:t>
      </w:r>
      <w:proofErr w:type="gramStart"/>
      <w:r>
        <w:rPr>
          <w:rFonts w:ascii="Segoe UI Black" w:hAnsi="Segoe UI Black"/>
          <w:sz w:val="14"/>
          <w:szCs w:val="14"/>
        </w:rPr>
        <w:t>Anthracis                                        Obr.</w:t>
      </w:r>
      <w:proofErr w:type="gramEnd"/>
      <w:r>
        <w:rPr>
          <w:rFonts w:ascii="Segoe UI Black" w:hAnsi="Segoe UI Black"/>
          <w:sz w:val="14"/>
          <w:szCs w:val="14"/>
        </w:rPr>
        <w:t xml:space="preserve"> d</w:t>
      </w:r>
      <w:r>
        <w:rPr>
          <w:rFonts w:ascii="Segoe UI Black" w:hAnsi="Segoe UI Black"/>
          <w:sz w:val="14"/>
          <w:szCs w:val="14"/>
          <w:vertAlign w:val="superscript"/>
        </w:rPr>
        <w:t>2</w:t>
      </w:r>
      <w:r>
        <w:rPr>
          <w:rFonts w:ascii="Segoe UI Black" w:hAnsi="Segoe UI Black"/>
          <w:sz w:val="14"/>
          <w:szCs w:val="14"/>
        </w:rPr>
        <w:t>) Bacillus Cereus</w:t>
      </w:r>
    </w:p>
    <w:p w:rsidR="00287B1D" w:rsidRDefault="00287B1D">
      <w:pPr>
        <w:spacing w:after="0"/>
        <w:rPr>
          <w:sz w:val="18"/>
          <w:szCs w:val="18"/>
        </w:rPr>
      </w:pPr>
    </w:p>
    <w:p w:rsidR="00287B1D" w:rsidRDefault="00BB6CB9">
      <w:pPr>
        <w:spacing w:after="0"/>
        <w:jc w:val="center"/>
        <w:rPr>
          <w:sz w:val="18"/>
          <w:szCs w:val="18"/>
        </w:rPr>
      </w:pPr>
      <w:r>
        <w:rPr>
          <w:color w:val="000000" w:themeColor="text1"/>
          <w:sz w:val="18"/>
          <w:szCs w:val="18"/>
        </w:rPr>
        <w:t>Bacillus</w:t>
      </w:r>
      <w:r>
        <w:rPr>
          <w:sz w:val="18"/>
          <w:szCs w:val="18"/>
        </w:rPr>
        <w:t xml:space="preserve"> </w:t>
      </w:r>
      <w:r>
        <w:rPr>
          <w:color w:val="FF0000"/>
          <w:sz w:val="18"/>
          <w:szCs w:val="18"/>
        </w:rPr>
        <w:t>(Subtillis, Anthracis, Cereus)</w:t>
      </w:r>
    </w:p>
    <w:p w:rsidR="00287B1D" w:rsidRDefault="00287B1D">
      <w:pPr>
        <w:spacing w:after="0"/>
        <w:rPr>
          <w:sz w:val="18"/>
          <w:szCs w:val="18"/>
        </w:rPr>
      </w:pPr>
    </w:p>
    <w:p w:rsidR="00287B1D" w:rsidRDefault="00BB6CB9">
      <w:pPr>
        <w:spacing w:after="0"/>
        <w:ind w:left="-426"/>
        <w:rPr>
          <w:sz w:val="18"/>
          <w:szCs w:val="18"/>
        </w:rPr>
      </w:pPr>
      <w:r>
        <w:rPr>
          <w:rFonts w:cs="Arial"/>
          <w:b/>
          <w:i/>
          <w:sz w:val="18"/>
          <w:szCs w:val="18"/>
          <w:shd w:val="clear" w:color="auto" w:fill="FFFFFF"/>
        </w:rPr>
        <w:t>Bacillus subtilis</w:t>
      </w:r>
      <w:r>
        <w:rPr>
          <w:rFonts w:cs="Arial"/>
          <w:sz w:val="18"/>
          <w:szCs w:val="18"/>
          <w:shd w:val="clear" w:color="auto" w:fill="FFFFFF"/>
        </w:rPr>
        <w:t xml:space="preserve"> je grampozitivní sporulující aerobní bakterie. Je nepatogenní a žije v půdě a dostává se do </w:t>
      </w:r>
      <w:r>
        <w:rPr>
          <w:rFonts w:cs="Arial"/>
          <w:color w:val="FF0000"/>
          <w:sz w:val="18"/>
          <w:szCs w:val="18"/>
          <w:shd w:val="clear" w:color="auto" w:fill="FFFFFF"/>
        </w:rPr>
        <w:t>spodních vod</w:t>
      </w:r>
      <w:r>
        <w:rPr>
          <w:rFonts w:cs="Arial"/>
          <w:sz w:val="18"/>
          <w:szCs w:val="18"/>
          <w:shd w:val="clear" w:color="auto" w:fill="FFFFFF"/>
        </w:rPr>
        <w:t>. Patří mezi bakterie, které na těžký nedostatek výživných látek odpovídají tvorbou endospóry - morfologicky odlišného typu buňky.</w:t>
      </w:r>
    </w:p>
    <w:p w:rsidR="00287B1D" w:rsidRDefault="00BB6CB9">
      <w:pPr>
        <w:spacing w:after="0"/>
        <w:ind w:left="-426"/>
        <w:rPr>
          <w:sz w:val="18"/>
          <w:szCs w:val="18"/>
        </w:rPr>
      </w:pPr>
      <w:r>
        <w:rPr>
          <w:sz w:val="18"/>
          <w:szCs w:val="18"/>
        </w:rPr>
        <w:t xml:space="preserve"> </w:t>
      </w:r>
    </w:p>
    <w:p w:rsidR="00287B1D" w:rsidRDefault="00BB6CB9">
      <w:pPr>
        <w:spacing w:after="0"/>
        <w:ind w:left="-426"/>
        <w:rPr>
          <w:rFonts w:cs="Arial"/>
          <w:color w:val="202122"/>
          <w:sz w:val="18"/>
          <w:szCs w:val="18"/>
          <w:highlight w:val="white"/>
        </w:rPr>
      </w:pPr>
      <w:r>
        <w:rPr>
          <w:rFonts w:cs="Arial"/>
          <w:b/>
          <w:bCs/>
          <w:i/>
          <w:iCs/>
          <w:color w:val="202122"/>
          <w:sz w:val="18"/>
          <w:szCs w:val="18"/>
          <w:shd w:val="clear" w:color="auto" w:fill="FFFFFF"/>
        </w:rPr>
        <w:lastRenderedPageBreak/>
        <w:t>Bacillus anthracis</w:t>
      </w:r>
      <w:r>
        <w:rPr>
          <w:rFonts w:cs="Arial"/>
          <w:color w:val="202122"/>
          <w:sz w:val="18"/>
          <w:szCs w:val="18"/>
          <w:shd w:val="clear" w:color="auto" w:fill="FFFFFF"/>
        </w:rPr>
        <w:t> je </w:t>
      </w:r>
      <w:hyperlink r:id="rId211" w:tgtFrame="Grampozitivní">
        <w:r>
          <w:rPr>
            <w:rStyle w:val="Internetovodkaz"/>
            <w:rFonts w:cs="Arial"/>
            <w:color w:val="0B0080"/>
            <w:sz w:val="18"/>
            <w:szCs w:val="18"/>
            <w:highlight w:val="white"/>
          </w:rPr>
          <w:t>grampozitivní</w:t>
        </w:r>
      </w:hyperlink>
      <w:r>
        <w:rPr>
          <w:rFonts w:cs="Arial"/>
          <w:color w:val="202122"/>
          <w:sz w:val="18"/>
          <w:szCs w:val="18"/>
          <w:shd w:val="clear" w:color="auto" w:fill="FFFFFF"/>
        </w:rPr>
        <w:t> fakultativně </w:t>
      </w:r>
      <w:hyperlink r:id="rId212" w:tgtFrame="Anaerobní">
        <w:r>
          <w:rPr>
            <w:rStyle w:val="Internetovodkaz"/>
            <w:rFonts w:cs="Arial"/>
            <w:color w:val="0B0080"/>
            <w:sz w:val="18"/>
            <w:szCs w:val="18"/>
            <w:highlight w:val="white"/>
          </w:rPr>
          <w:t>anaerobní</w:t>
        </w:r>
      </w:hyperlink>
      <w:r>
        <w:rPr>
          <w:rFonts w:cs="Arial"/>
          <w:color w:val="202122"/>
          <w:sz w:val="18"/>
          <w:szCs w:val="18"/>
          <w:shd w:val="clear" w:color="auto" w:fill="FFFFFF"/>
        </w:rPr>
        <w:t> </w:t>
      </w:r>
      <w:hyperlink r:id="rId213" w:tgtFrame="Bakterie">
        <w:r>
          <w:rPr>
            <w:rStyle w:val="Internetovodkaz"/>
            <w:rFonts w:cs="Arial"/>
            <w:color w:val="0B0080"/>
            <w:sz w:val="18"/>
            <w:szCs w:val="18"/>
            <w:highlight w:val="white"/>
          </w:rPr>
          <w:t>bakterie</w:t>
        </w:r>
      </w:hyperlink>
      <w:r>
        <w:rPr>
          <w:rFonts w:cs="Arial"/>
          <w:color w:val="202122"/>
          <w:sz w:val="18"/>
          <w:szCs w:val="18"/>
          <w:shd w:val="clear" w:color="auto" w:fill="FFFFFF"/>
        </w:rPr>
        <w:t> </w:t>
      </w:r>
      <w:hyperlink r:id="rId214" w:tgtFrame="Tyčinky (bakterie)">
        <w:r>
          <w:rPr>
            <w:rStyle w:val="Internetovodkaz"/>
            <w:rFonts w:cs="Arial"/>
            <w:color w:val="0B0080"/>
            <w:sz w:val="18"/>
            <w:szCs w:val="18"/>
            <w:highlight w:val="white"/>
          </w:rPr>
          <w:t>tyčinkovitého</w:t>
        </w:r>
      </w:hyperlink>
      <w:r>
        <w:rPr>
          <w:rFonts w:cs="Arial"/>
          <w:color w:val="202122"/>
          <w:sz w:val="18"/>
          <w:szCs w:val="18"/>
          <w:shd w:val="clear" w:color="auto" w:fill="FFFFFF"/>
        </w:rPr>
        <w:t> tvaru z rodu </w:t>
      </w:r>
      <w:hyperlink r:id="rId215" w:tgtFrame="Bacillus">
        <w:r>
          <w:rPr>
            <w:rStyle w:val="Internetovodkaz"/>
            <w:rFonts w:cs="Arial"/>
            <w:i/>
            <w:iCs/>
            <w:color w:val="0B0080"/>
            <w:sz w:val="18"/>
            <w:szCs w:val="18"/>
            <w:highlight w:val="white"/>
          </w:rPr>
          <w:t>Bacillus</w:t>
        </w:r>
      </w:hyperlink>
      <w:r>
        <w:rPr>
          <w:rFonts w:cs="Arial"/>
          <w:color w:val="202122"/>
          <w:sz w:val="18"/>
          <w:szCs w:val="18"/>
          <w:shd w:val="clear" w:color="auto" w:fill="FFFFFF"/>
        </w:rPr>
        <w:t>. Je známá především jako původce onemocnění </w:t>
      </w:r>
      <w:hyperlink r:id="rId216" w:tgtFrame="Anthrax">
        <w:r>
          <w:rPr>
            <w:rStyle w:val="Internetovodkaz"/>
            <w:rFonts w:cs="Arial"/>
            <w:color w:val="0B0080"/>
            <w:sz w:val="18"/>
            <w:szCs w:val="18"/>
            <w:highlight w:val="white"/>
          </w:rPr>
          <w:t>anthrax</w:t>
        </w:r>
      </w:hyperlink>
      <w:r>
        <w:rPr>
          <w:rFonts w:cs="Arial"/>
          <w:color w:val="202122"/>
          <w:sz w:val="18"/>
          <w:szCs w:val="18"/>
          <w:shd w:val="clear" w:color="auto" w:fill="FFFFFF"/>
        </w:rPr>
        <w:t xml:space="preserve">, v přírodě je to však půdní bakterie, která se dostává do </w:t>
      </w:r>
      <w:r>
        <w:rPr>
          <w:rFonts w:cs="Arial"/>
          <w:color w:val="FF0000"/>
          <w:sz w:val="18"/>
          <w:szCs w:val="18"/>
          <w:shd w:val="clear" w:color="auto" w:fill="FFFFFF"/>
        </w:rPr>
        <w:t>spodních vod</w:t>
      </w:r>
      <w:r>
        <w:rPr>
          <w:rFonts w:cs="Arial"/>
          <w:color w:val="202122"/>
          <w:sz w:val="18"/>
          <w:szCs w:val="18"/>
          <w:shd w:val="clear" w:color="auto" w:fill="FFFFFF"/>
        </w:rPr>
        <w:t xml:space="preserve"> a která tvoří </w:t>
      </w:r>
      <w:hyperlink r:id="rId217" w:tgtFrame="Spora (bakterie)">
        <w:r>
          <w:rPr>
            <w:rStyle w:val="Internetovodkaz"/>
            <w:rFonts w:cs="Arial"/>
            <w:color w:val="0B0080"/>
            <w:sz w:val="18"/>
            <w:szCs w:val="18"/>
            <w:highlight w:val="white"/>
          </w:rPr>
          <w:t>spory</w:t>
        </w:r>
      </w:hyperlink>
      <w:r>
        <w:rPr>
          <w:rFonts w:cs="Arial"/>
          <w:color w:val="202122"/>
          <w:sz w:val="18"/>
          <w:szCs w:val="18"/>
          <w:shd w:val="clear" w:color="auto" w:fill="FFFFFF"/>
        </w:rPr>
        <w:t>.</w:t>
      </w:r>
    </w:p>
    <w:p w:rsidR="00287B1D" w:rsidRDefault="00287B1D">
      <w:pPr>
        <w:spacing w:after="0"/>
        <w:ind w:left="-426"/>
        <w:rPr>
          <w:rFonts w:cs="Arial"/>
          <w:color w:val="202122"/>
          <w:sz w:val="18"/>
          <w:szCs w:val="18"/>
          <w:highlight w:val="white"/>
        </w:rPr>
      </w:pPr>
    </w:p>
    <w:p w:rsidR="00287B1D" w:rsidRDefault="00BB6CB9">
      <w:pPr>
        <w:pStyle w:val="Normlnweb"/>
        <w:shd w:val="clear" w:color="auto" w:fill="FFFFFF"/>
        <w:spacing w:beforeAutospacing="0" w:after="345" w:afterAutospacing="0"/>
        <w:ind w:left="-426" w:right="150"/>
        <w:textAlignment w:val="baseline"/>
        <w:rPr>
          <w:rFonts w:ascii="Verdana" w:hAnsi="Verdana"/>
          <w:color w:val="51514F"/>
          <w:sz w:val="18"/>
          <w:szCs w:val="18"/>
        </w:rPr>
      </w:pPr>
      <w:r>
        <w:rPr>
          <w:rFonts w:ascii="Verdana" w:hAnsi="Verdana" w:cs="Arial"/>
          <w:b/>
          <w:bCs/>
          <w:i/>
          <w:iCs/>
          <w:color w:val="202122"/>
          <w:sz w:val="18"/>
          <w:szCs w:val="18"/>
          <w:shd w:val="clear" w:color="auto" w:fill="FFFFFF"/>
        </w:rPr>
        <w:t>Bacillus cereus</w:t>
      </w:r>
      <w:r>
        <w:rPr>
          <w:rFonts w:cs="Arial"/>
          <w:b/>
          <w:bCs/>
          <w:i/>
          <w:iCs/>
          <w:color w:val="202122"/>
          <w:sz w:val="18"/>
          <w:szCs w:val="18"/>
          <w:shd w:val="clear" w:color="auto" w:fill="FFFFFF"/>
        </w:rPr>
        <w:t xml:space="preserve"> </w:t>
      </w:r>
      <w:r>
        <w:rPr>
          <w:rFonts w:ascii="Verdana" w:hAnsi="Verdana"/>
          <w:color w:val="51514F"/>
          <w:sz w:val="18"/>
          <w:szCs w:val="18"/>
          <w:shd w:val="clear" w:color="auto" w:fill="FFFFFF"/>
        </w:rPr>
        <w:t xml:space="preserve">jsou saprofytické mikroorganismy, které můžeme najít hlavně v půdě, </w:t>
      </w:r>
      <w:r>
        <w:rPr>
          <w:rFonts w:ascii="Verdana" w:hAnsi="Verdana"/>
          <w:color w:val="FF0000"/>
          <w:sz w:val="18"/>
          <w:szCs w:val="18"/>
          <w:shd w:val="clear" w:color="auto" w:fill="FFFFFF"/>
        </w:rPr>
        <w:t>ve vodě</w:t>
      </w:r>
      <w:r>
        <w:rPr>
          <w:rFonts w:ascii="Verdana" w:hAnsi="Verdana"/>
          <w:color w:val="51514F"/>
          <w:sz w:val="18"/>
          <w:szCs w:val="18"/>
          <w:shd w:val="clear" w:color="auto" w:fill="FFFFFF"/>
        </w:rPr>
        <w:t>, ve vzduchu a na rostlinách. Některé jsou i patogeny hmyzu, další jsou nebezpečné tím, že vyvolávají onemocnění z</w:t>
      </w:r>
      <w:r>
        <w:rPr>
          <w:color w:val="51514F"/>
          <w:sz w:val="18"/>
          <w:szCs w:val="18"/>
          <w:shd w:val="clear" w:color="auto" w:fill="FFFFFF"/>
        </w:rPr>
        <w:t> </w:t>
      </w:r>
      <w:r>
        <w:rPr>
          <w:rFonts w:ascii="Verdana" w:hAnsi="Verdana"/>
          <w:color w:val="51514F"/>
          <w:sz w:val="18"/>
          <w:szCs w:val="18"/>
          <w:shd w:val="clear" w:color="auto" w:fill="FFFFFF"/>
        </w:rPr>
        <w:t>jídla</w:t>
      </w:r>
      <w:r>
        <w:rPr>
          <w:color w:val="51514F"/>
          <w:sz w:val="18"/>
          <w:szCs w:val="18"/>
          <w:shd w:val="clear" w:color="auto" w:fill="FFFFFF"/>
        </w:rPr>
        <w:t>.</w:t>
      </w:r>
      <w:r>
        <w:rPr>
          <w:rFonts w:ascii="Verdana" w:hAnsi="Verdana"/>
          <w:color w:val="51514F"/>
          <w:sz w:val="18"/>
          <w:szCs w:val="18"/>
          <w:shd w:val="clear" w:color="auto" w:fill="FFFFFF"/>
        </w:rPr>
        <w:t xml:space="preserve"> </w:t>
      </w:r>
      <w:r>
        <w:rPr>
          <w:rFonts w:ascii="Verdana" w:hAnsi="Verdana"/>
          <w:color w:val="51514F"/>
          <w:sz w:val="18"/>
          <w:szCs w:val="18"/>
        </w:rPr>
        <w:t>Optimální teplota pro růst této bakterie je 30-37 ºC. Maximum do 55 ºC.</w:t>
      </w:r>
      <w:r>
        <w:rPr>
          <w:rFonts w:ascii="Verdana" w:hAnsi="Verdana"/>
          <w:color w:val="51514F"/>
          <w:sz w:val="18"/>
          <w:szCs w:val="18"/>
        </w:rPr>
        <w:br/>
        <w:t>Minimální pH pro růst Bacillus cereus je 4.3 a maximum okolo 9.3. K růstu je také potřebný dostatek kyslíku.</w:t>
      </w:r>
    </w:p>
    <w:p w:rsidR="00287B1D" w:rsidRDefault="00BB6CB9">
      <w:pPr>
        <w:shd w:val="clear" w:color="auto" w:fill="FFFFFF"/>
        <w:spacing w:before="525" w:after="375" w:line="240" w:lineRule="auto"/>
        <w:textAlignment w:val="baseline"/>
        <w:outlineLvl w:val="1"/>
        <w:rPr>
          <w:rFonts w:eastAsia="Times New Roman" w:cs="Times New Roman"/>
          <w:color w:val="51514F"/>
          <w:sz w:val="18"/>
          <w:szCs w:val="18"/>
          <w:lang w:eastAsia="cs-CZ"/>
        </w:rPr>
      </w:pPr>
      <w:r>
        <w:rPr>
          <w:rFonts w:eastAsia="Times New Roman" w:cs="Times New Roman"/>
          <w:color w:val="51514F"/>
          <w:sz w:val="18"/>
          <w:szCs w:val="18"/>
          <w:lang w:eastAsia="cs-CZ"/>
        </w:rPr>
        <w:t>Možná onemocnění</w:t>
      </w:r>
    </w:p>
    <w:p w:rsidR="00287B1D" w:rsidRDefault="00BB6CB9">
      <w:pPr>
        <w:numPr>
          <w:ilvl w:val="0"/>
          <w:numId w:val="21"/>
        </w:numPr>
        <w:shd w:val="clear" w:color="auto" w:fill="FFFFFF"/>
        <w:spacing w:after="0" w:line="240" w:lineRule="auto"/>
        <w:ind w:left="300"/>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infekce ran</w:t>
      </w:r>
    </w:p>
    <w:p w:rsidR="00287B1D" w:rsidRDefault="00BB6CB9">
      <w:pPr>
        <w:numPr>
          <w:ilvl w:val="0"/>
          <w:numId w:val="21"/>
        </w:numPr>
        <w:shd w:val="clear" w:color="auto" w:fill="FFFFFF"/>
        <w:spacing w:after="0" w:line="240" w:lineRule="auto"/>
        <w:ind w:left="300"/>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otrava z potravin (enterotoxikóza) – bolest břicha, zvracení, vodnatý průjem</w:t>
      </w:r>
    </w:p>
    <w:p w:rsidR="00287B1D" w:rsidRDefault="00BB6CB9">
      <w:pPr>
        <w:numPr>
          <w:ilvl w:val="0"/>
          <w:numId w:val="21"/>
        </w:numPr>
        <w:shd w:val="clear" w:color="auto" w:fill="FFFFFF"/>
        <w:spacing w:after="0" w:line="240" w:lineRule="auto"/>
        <w:ind w:left="300"/>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meningitís</w:t>
      </w:r>
    </w:p>
    <w:p w:rsidR="00287B1D" w:rsidRDefault="00BB6CB9">
      <w:pPr>
        <w:numPr>
          <w:ilvl w:val="0"/>
          <w:numId w:val="21"/>
        </w:numPr>
        <w:shd w:val="clear" w:color="auto" w:fill="FFFFFF"/>
        <w:spacing w:after="0" w:line="240" w:lineRule="auto"/>
        <w:ind w:left="300"/>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endokarditis</w:t>
      </w:r>
    </w:p>
    <w:p w:rsidR="00287B1D" w:rsidRDefault="00BB6CB9">
      <w:pPr>
        <w:numPr>
          <w:ilvl w:val="0"/>
          <w:numId w:val="21"/>
        </w:numPr>
        <w:shd w:val="clear" w:color="auto" w:fill="FFFFFF"/>
        <w:spacing w:after="0" w:line="240" w:lineRule="auto"/>
        <w:ind w:left="300"/>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konjunktivitis</w:t>
      </w:r>
    </w:p>
    <w:p w:rsidR="00287B1D" w:rsidRDefault="00BB6CB9">
      <w:pPr>
        <w:numPr>
          <w:ilvl w:val="0"/>
          <w:numId w:val="21"/>
        </w:numPr>
        <w:shd w:val="clear" w:color="auto" w:fill="FFFFFF"/>
        <w:spacing w:after="0" w:line="240" w:lineRule="auto"/>
        <w:ind w:left="300"/>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pneumonie</w:t>
      </w:r>
    </w:p>
    <w:p w:rsidR="00287B1D" w:rsidRDefault="00BB6CB9">
      <w:pPr>
        <w:numPr>
          <w:ilvl w:val="0"/>
          <w:numId w:val="21"/>
        </w:numPr>
        <w:shd w:val="clear" w:color="auto" w:fill="FFFFFF"/>
        <w:spacing w:after="0" w:line="240" w:lineRule="auto"/>
        <w:ind w:left="300"/>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sepse</w:t>
      </w:r>
    </w:p>
    <w:p w:rsidR="00287B1D" w:rsidRDefault="00BB6CB9">
      <w:pPr>
        <w:numPr>
          <w:ilvl w:val="0"/>
          <w:numId w:val="21"/>
        </w:numPr>
        <w:shd w:val="clear" w:color="auto" w:fill="FFFFFF"/>
        <w:spacing w:after="0" w:line="240" w:lineRule="auto"/>
        <w:ind w:left="300"/>
        <w:textAlignment w:val="baseline"/>
        <w:rPr>
          <w:rFonts w:eastAsia="Times New Roman" w:cs="Times New Roman"/>
          <w:color w:val="51514F"/>
          <w:sz w:val="18"/>
          <w:szCs w:val="18"/>
          <w:lang w:eastAsia="cs-CZ"/>
        </w:rPr>
      </w:pPr>
      <w:r>
        <w:rPr>
          <w:rFonts w:eastAsia="Times New Roman" w:cs="Times New Roman"/>
          <w:color w:val="51514F"/>
          <w:sz w:val="18"/>
          <w:szCs w:val="18"/>
          <w:lang w:eastAsia="cs-CZ"/>
        </w:rPr>
        <w:t>Emetický syndrom</w:t>
      </w:r>
    </w:p>
    <w:p w:rsidR="00287B1D" w:rsidRDefault="00287B1D">
      <w:pPr>
        <w:spacing w:after="0"/>
        <w:ind w:left="-426"/>
        <w:rPr>
          <w:rFonts w:cs="Arial"/>
          <w:color w:val="202122"/>
          <w:sz w:val="18"/>
          <w:szCs w:val="18"/>
          <w:highlight w:val="white"/>
        </w:rPr>
      </w:pPr>
    </w:p>
    <w:p w:rsidR="00287B1D" w:rsidRDefault="00287B1D">
      <w:pPr>
        <w:spacing w:after="0"/>
        <w:rPr>
          <w:rFonts w:cs="Arial"/>
          <w:color w:val="202122"/>
          <w:sz w:val="18"/>
          <w:szCs w:val="18"/>
          <w:highlight w:val="white"/>
        </w:rPr>
      </w:pPr>
    </w:p>
    <w:p w:rsidR="00287B1D" w:rsidRDefault="00BB6CB9">
      <w:pPr>
        <w:spacing w:line="240" w:lineRule="auto"/>
        <w:rPr>
          <w:rFonts w:cstheme="minorHAnsi"/>
          <w:sz w:val="14"/>
          <w:szCs w:val="14"/>
        </w:rPr>
      </w:pPr>
      <w:r>
        <w:rPr>
          <w:rFonts w:cstheme="minorHAnsi"/>
          <w:sz w:val="14"/>
          <w:szCs w:val="14"/>
        </w:rPr>
        <w:t>Obr. 23 d, d</w:t>
      </w:r>
      <w:r>
        <w:rPr>
          <w:rFonts w:cstheme="minorHAnsi"/>
          <w:sz w:val="14"/>
          <w:szCs w:val="14"/>
          <w:vertAlign w:val="superscript"/>
        </w:rPr>
        <w:t>1</w:t>
      </w:r>
      <w:r>
        <w:rPr>
          <w:rFonts w:cstheme="minorHAnsi"/>
          <w:sz w:val="14"/>
          <w:szCs w:val="14"/>
        </w:rPr>
        <w:t xml:space="preserve">, </w:t>
      </w:r>
      <w:proofErr w:type="gramStart"/>
      <w:r>
        <w:rPr>
          <w:rFonts w:cstheme="minorHAnsi"/>
          <w:sz w:val="14"/>
          <w:szCs w:val="14"/>
        </w:rPr>
        <w:t>d</w:t>
      </w:r>
      <w:r>
        <w:rPr>
          <w:rFonts w:cstheme="minorHAnsi"/>
          <w:sz w:val="14"/>
          <w:szCs w:val="14"/>
          <w:vertAlign w:val="superscript"/>
        </w:rPr>
        <w:t>2</w:t>
      </w:r>
      <w:r>
        <w:rPr>
          <w:rFonts w:cstheme="minorHAnsi"/>
          <w:sz w:val="14"/>
          <w:szCs w:val="14"/>
        </w:rPr>
        <w:t>)  Sledované</w:t>
      </w:r>
      <w:proofErr w:type="gramEnd"/>
      <w:r>
        <w:rPr>
          <w:rFonts w:cstheme="minorHAnsi"/>
          <w:sz w:val="14"/>
          <w:szCs w:val="14"/>
        </w:rPr>
        <w:t xml:space="preserve"> Bacillus Subtillis, Bacilus Anthracis a Bacillus Cereus, vyskytující se v kontaminované vodě, AQ3 Mini   zachytí, deaktivuje</w:t>
      </w:r>
    </w:p>
    <w:p w:rsidR="00287B1D" w:rsidRDefault="00287B1D">
      <w:pPr>
        <w:spacing w:after="0"/>
        <w:rPr>
          <w:sz w:val="18"/>
          <w:szCs w:val="18"/>
        </w:rPr>
      </w:pPr>
    </w:p>
    <w:p w:rsidR="00287B1D" w:rsidRDefault="00287B1D">
      <w:pPr>
        <w:spacing w:after="0"/>
        <w:rPr>
          <w:sz w:val="18"/>
          <w:szCs w:val="18"/>
        </w:rPr>
      </w:pPr>
    </w:p>
    <w:p w:rsidR="00287B1D" w:rsidRDefault="00BB6CB9">
      <w:pPr>
        <w:spacing w:after="0"/>
        <w:jc w:val="center"/>
        <w:rPr>
          <w:sz w:val="18"/>
          <w:szCs w:val="18"/>
        </w:rPr>
      </w:pPr>
      <w:r>
        <w:rPr>
          <w:noProof/>
          <w:lang w:eastAsia="cs-CZ"/>
        </w:rPr>
        <w:drawing>
          <wp:inline distT="0" distB="0" distL="0" distR="0">
            <wp:extent cx="2597150" cy="1731010"/>
            <wp:effectExtent l="0" t="0" r="0" b="0"/>
            <wp:docPr id="99" name="Obrázek 108" descr="Mycobacterium tuberculosis | Microbiology Soc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brázek 108" descr="Mycobacterium tuberculosis | Microbiology Society"/>
                    <pic:cNvPicPr>
                      <a:picLocks noChangeAspect="1" noChangeArrowheads="1"/>
                    </pic:cNvPicPr>
                  </pic:nvPicPr>
                  <pic:blipFill>
                    <a:blip r:embed="rId218"/>
                    <a:stretch>
                      <a:fillRect/>
                    </a:stretch>
                  </pic:blipFill>
                  <pic:spPr bwMode="auto">
                    <a:xfrm>
                      <a:off x="0" y="0"/>
                      <a:ext cx="2597150" cy="1731010"/>
                    </a:xfrm>
                    <a:prstGeom prst="rect">
                      <a:avLst/>
                    </a:prstGeom>
                  </pic:spPr>
                </pic:pic>
              </a:graphicData>
            </a:graphic>
          </wp:inline>
        </w:drawing>
      </w:r>
    </w:p>
    <w:p w:rsidR="00287B1D" w:rsidRDefault="00BB6CB9">
      <w:pPr>
        <w:spacing w:after="0"/>
        <w:jc w:val="center"/>
        <w:rPr>
          <w:rFonts w:ascii="Segoe UI Black" w:hAnsi="Segoe UI Black"/>
          <w:sz w:val="14"/>
          <w:szCs w:val="14"/>
        </w:rPr>
      </w:pPr>
      <w:r>
        <w:rPr>
          <w:rFonts w:ascii="Segoe UI Black" w:hAnsi="Segoe UI Black"/>
          <w:sz w:val="14"/>
          <w:szCs w:val="14"/>
        </w:rPr>
        <w:t>Obr. e) Mycobacteria Tuberculosis</w:t>
      </w:r>
    </w:p>
    <w:p w:rsidR="00287B1D" w:rsidRDefault="00287B1D">
      <w:pPr>
        <w:spacing w:after="0"/>
        <w:rPr>
          <w:sz w:val="18"/>
          <w:szCs w:val="18"/>
        </w:rPr>
      </w:pPr>
    </w:p>
    <w:p w:rsidR="00287B1D" w:rsidRDefault="00BB6CB9">
      <w:pPr>
        <w:spacing w:after="0"/>
        <w:jc w:val="center"/>
        <w:rPr>
          <w:color w:val="FF0000"/>
          <w:sz w:val="18"/>
          <w:szCs w:val="18"/>
        </w:rPr>
      </w:pPr>
      <w:r>
        <w:rPr>
          <w:color w:val="000000" w:themeColor="text1"/>
          <w:sz w:val="18"/>
          <w:szCs w:val="18"/>
        </w:rPr>
        <w:t>Mycobacteria</w:t>
      </w:r>
      <w:r>
        <w:rPr>
          <w:color w:val="FF0000"/>
          <w:sz w:val="18"/>
          <w:szCs w:val="18"/>
        </w:rPr>
        <w:t xml:space="preserve"> (M. tuberculosis)</w:t>
      </w:r>
    </w:p>
    <w:p w:rsidR="00287B1D" w:rsidRDefault="00287B1D">
      <w:pPr>
        <w:spacing w:after="0"/>
        <w:rPr>
          <w:color w:val="FF0000"/>
          <w:sz w:val="18"/>
          <w:szCs w:val="18"/>
        </w:rPr>
      </w:pPr>
    </w:p>
    <w:p w:rsidR="00287B1D" w:rsidRDefault="00BB6CB9">
      <w:pPr>
        <w:spacing w:after="0"/>
        <w:ind w:left="-426" w:right="283"/>
        <w:jc w:val="both"/>
        <w:rPr>
          <w:color w:val="FF0000"/>
          <w:sz w:val="18"/>
          <w:szCs w:val="18"/>
        </w:rPr>
      </w:pPr>
      <w:r>
        <w:rPr>
          <w:rFonts w:cs="Arial"/>
          <w:b/>
          <w:bCs/>
          <w:i/>
          <w:iCs/>
          <w:color w:val="202122"/>
          <w:sz w:val="18"/>
          <w:szCs w:val="18"/>
          <w:shd w:val="clear" w:color="auto" w:fill="FFFFFF"/>
        </w:rPr>
        <w:t>Mycobacterium tuberculosis</w:t>
      </w:r>
      <w:r>
        <w:rPr>
          <w:rFonts w:cs="Arial"/>
          <w:color w:val="202122"/>
          <w:sz w:val="18"/>
          <w:szCs w:val="18"/>
          <w:shd w:val="clear" w:color="auto" w:fill="FFFFFF"/>
        </w:rPr>
        <w:t> (MTB) je </w:t>
      </w:r>
      <w:hyperlink r:id="rId219" w:tgtFrame="Patogen">
        <w:r>
          <w:rPr>
            <w:rStyle w:val="Internetovodkaz"/>
            <w:rFonts w:cs="Arial"/>
            <w:color w:val="0B0080"/>
            <w:sz w:val="18"/>
            <w:szCs w:val="18"/>
            <w:highlight w:val="white"/>
          </w:rPr>
          <w:t>patogenní</w:t>
        </w:r>
      </w:hyperlink>
      <w:r>
        <w:rPr>
          <w:rFonts w:cs="Arial"/>
          <w:color w:val="202122"/>
          <w:sz w:val="18"/>
          <w:szCs w:val="18"/>
          <w:shd w:val="clear" w:color="auto" w:fill="FFFFFF"/>
        </w:rPr>
        <w:t> </w:t>
      </w:r>
      <w:hyperlink r:id="rId220" w:tgtFrame="Bakterie">
        <w:r>
          <w:rPr>
            <w:rStyle w:val="Internetovodkaz"/>
            <w:rFonts w:cs="Arial"/>
            <w:color w:val="0B0080"/>
            <w:sz w:val="18"/>
            <w:szCs w:val="18"/>
            <w:highlight w:val="white"/>
          </w:rPr>
          <w:t>bakterie</w:t>
        </w:r>
      </w:hyperlink>
      <w:r>
        <w:rPr>
          <w:rFonts w:cs="Arial"/>
          <w:color w:val="202122"/>
          <w:sz w:val="18"/>
          <w:szCs w:val="18"/>
          <w:shd w:val="clear" w:color="auto" w:fill="FFFFFF"/>
        </w:rPr>
        <w:t> z rodu </w:t>
      </w:r>
      <w:hyperlink r:id="rId221" w:tgtFrame="Mycobacterium">
        <w:r>
          <w:rPr>
            <w:rStyle w:val="Internetovodkaz"/>
            <w:rFonts w:cs="Arial"/>
            <w:i/>
            <w:iCs/>
            <w:color w:val="0B0080"/>
            <w:sz w:val="18"/>
            <w:szCs w:val="18"/>
            <w:highlight w:val="white"/>
          </w:rPr>
          <w:t>Mycobacterium</w:t>
        </w:r>
      </w:hyperlink>
      <w:r>
        <w:rPr>
          <w:rFonts w:cs="Arial"/>
          <w:color w:val="202122"/>
          <w:sz w:val="18"/>
          <w:szCs w:val="18"/>
          <w:shd w:val="clear" w:color="auto" w:fill="FFFFFF"/>
        </w:rPr>
        <w:t>. Způsobuje většinu případů </w:t>
      </w:r>
      <w:hyperlink r:id="rId222" w:tgtFrame="Tuberkulóza">
        <w:r>
          <w:rPr>
            <w:rStyle w:val="Internetovodkaz"/>
            <w:rFonts w:cs="Arial"/>
            <w:color w:val="0B0080"/>
            <w:sz w:val="18"/>
            <w:szCs w:val="18"/>
            <w:highlight w:val="white"/>
          </w:rPr>
          <w:t>tuberkulózy</w:t>
        </w:r>
      </w:hyperlink>
      <w:r>
        <w:rPr>
          <w:rFonts w:cs="Arial"/>
          <w:color w:val="202122"/>
          <w:sz w:val="18"/>
          <w:szCs w:val="18"/>
          <w:shd w:val="clear" w:color="auto" w:fill="FFFFFF"/>
        </w:rPr>
        <w:t>.  </w:t>
      </w:r>
      <w:r>
        <w:rPr>
          <w:rFonts w:cs="Arial"/>
          <w:i/>
          <w:iCs/>
          <w:color w:val="202122"/>
          <w:sz w:val="18"/>
          <w:szCs w:val="18"/>
          <w:shd w:val="clear" w:color="auto" w:fill="FFFFFF"/>
        </w:rPr>
        <w:t>M. tuberculosis</w:t>
      </w:r>
      <w:r>
        <w:rPr>
          <w:rFonts w:cs="Arial"/>
          <w:color w:val="202122"/>
          <w:sz w:val="18"/>
          <w:szCs w:val="18"/>
          <w:shd w:val="clear" w:color="auto" w:fill="FFFFFF"/>
        </w:rPr>
        <w:t> je vysoce </w:t>
      </w:r>
      <w:hyperlink r:id="rId223" w:tgtFrame="Aerobní">
        <w:r>
          <w:rPr>
            <w:rStyle w:val="Internetovodkaz"/>
            <w:rFonts w:cs="Arial"/>
            <w:color w:val="0B0080"/>
            <w:sz w:val="18"/>
            <w:szCs w:val="18"/>
            <w:highlight w:val="white"/>
          </w:rPr>
          <w:t>aerobní</w:t>
        </w:r>
      </w:hyperlink>
      <w:r>
        <w:rPr>
          <w:rFonts w:cs="Arial"/>
          <w:color w:val="202122"/>
          <w:sz w:val="18"/>
          <w:szCs w:val="18"/>
          <w:shd w:val="clear" w:color="auto" w:fill="FFFFFF"/>
        </w:rPr>
        <w:t>, bakterie potřebuje vysoké hladiny </w:t>
      </w:r>
      <w:hyperlink r:id="rId224" w:tgtFrame="Kyslík">
        <w:r>
          <w:rPr>
            <w:rStyle w:val="Internetovodkaz"/>
            <w:rFonts w:cs="Arial"/>
            <w:color w:val="0B0080"/>
            <w:sz w:val="18"/>
            <w:szCs w:val="18"/>
            <w:highlight w:val="white"/>
          </w:rPr>
          <w:t>kyslíku</w:t>
        </w:r>
      </w:hyperlink>
      <w:r>
        <w:rPr>
          <w:rFonts w:cs="Arial"/>
          <w:color w:val="202122"/>
          <w:sz w:val="18"/>
          <w:szCs w:val="18"/>
          <w:shd w:val="clear" w:color="auto" w:fill="FFFFFF"/>
        </w:rPr>
        <w:t>. Primárně je tato bakterie </w:t>
      </w:r>
      <w:hyperlink r:id="rId225" w:tgtFrame="Patogen">
        <w:r>
          <w:rPr>
            <w:rStyle w:val="Internetovodkaz"/>
            <w:rFonts w:cs="Arial"/>
            <w:color w:val="0B0080"/>
            <w:sz w:val="18"/>
            <w:szCs w:val="18"/>
            <w:highlight w:val="white"/>
          </w:rPr>
          <w:t>patogenem</w:t>
        </w:r>
      </w:hyperlink>
      <w:r>
        <w:rPr>
          <w:rFonts w:cs="Arial"/>
          <w:color w:val="202122"/>
          <w:sz w:val="18"/>
          <w:szCs w:val="18"/>
          <w:shd w:val="clear" w:color="auto" w:fill="FFFFFF"/>
        </w:rPr>
        <w:t> v </w:t>
      </w:r>
      <w:hyperlink r:id="rId226" w:tgtFrame="Dýchací soustava">
        <w:r>
          <w:rPr>
            <w:rStyle w:val="Internetovodkaz"/>
            <w:rFonts w:cs="Arial"/>
            <w:color w:val="0B0080"/>
            <w:sz w:val="18"/>
            <w:szCs w:val="18"/>
            <w:highlight w:val="white"/>
          </w:rPr>
          <w:t>dýchacím ústrojí</w:t>
        </w:r>
      </w:hyperlink>
      <w:r>
        <w:rPr>
          <w:rFonts w:cs="Arial"/>
          <w:color w:val="202122"/>
          <w:sz w:val="18"/>
          <w:szCs w:val="18"/>
          <w:shd w:val="clear" w:color="auto" w:fill="FFFFFF"/>
        </w:rPr>
        <w:t> </w:t>
      </w:r>
      <w:hyperlink r:id="rId227" w:tgtFrame="Savci">
        <w:r>
          <w:rPr>
            <w:rStyle w:val="Internetovodkaz"/>
            <w:rFonts w:cs="Arial"/>
            <w:color w:val="0B0080"/>
            <w:sz w:val="18"/>
            <w:szCs w:val="18"/>
            <w:highlight w:val="white"/>
          </w:rPr>
          <w:t>savců</w:t>
        </w:r>
      </w:hyperlink>
      <w:r>
        <w:rPr>
          <w:rFonts w:cs="Arial"/>
          <w:color w:val="202122"/>
          <w:sz w:val="18"/>
          <w:szCs w:val="18"/>
          <w:shd w:val="clear" w:color="auto" w:fill="FFFFFF"/>
        </w:rPr>
        <w:t>, napadá </w:t>
      </w:r>
      <w:hyperlink r:id="rId228" w:tgtFrame="Plíce">
        <w:r>
          <w:rPr>
            <w:rStyle w:val="Internetovodkaz"/>
            <w:rFonts w:cs="Arial"/>
            <w:color w:val="0B0080"/>
            <w:sz w:val="18"/>
            <w:szCs w:val="18"/>
            <w:highlight w:val="white"/>
          </w:rPr>
          <w:t>plíce</w:t>
        </w:r>
      </w:hyperlink>
      <w:r>
        <w:rPr>
          <w:rFonts w:cs="Arial"/>
          <w:color w:val="202122"/>
          <w:sz w:val="18"/>
          <w:szCs w:val="18"/>
          <w:shd w:val="clear" w:color="auto" w:fill="FFFFFF"/>
        </w:rPr>
        <w:t>, kde způsobuje tuberkulózu.</w:t>
      </w:r>
      <w:r>
        <w:rPr>
          <w:color w:val="FF0000"/>
          <w:sz w:val="18"/>
          <w:szCs w:val="18"/>
        </w:rPr>
        <w:t xml:space="preserve"> </w:t>
      </w:r>
      <w:r>
        <w:rPr>
          <w:rFonts w:cs="Arial"/>
          <w:color w:val="202122"/>
          <w:sz w:val="18"/>
          <w:szCs w:val="18"/>
          <w:shd w:val="clear" w:color="auto" w:fill="FFFFFF"/>
        </w:rPr>
        <w:t>Jedná se o malou </w:t>
      </w:r>
      <w:hyperlink r:id="rId229" w:tgtFrame="Tyčinky (bakterie)">
        <w:r>
          <w:rPr>
            <w:rStyle w:val="Internetovodkaz"/>
            <w:rFonts w:cs="Arial"/>
            <w:color w:val="0B0080"/>
            <w:sz w:val="18"/>
            <w:szCs w:val="18"/>
            <w:highlight w:val="white"/>
          </w:rPr>
          <w:t>tyčkovitou bakterii</w:t>
        </w:r>
      </w:hyperlink>
      <w:r>
        <w:rPr>
          <w:rFonts w:cs="Arial"/>
          <w:color w:val="202122"/>
          <w:sz w:val="18"/>
          <w:szCs w:val="18"/>
          <w:shd w:val="clear" w:color="auto" w:fill="FFFFFF"/>
        </w:rPr>
        <w:t xml:space="preserve"> (bacil), která </w:t>
      </w:r>
      <w:r>
        <w:rPr>
          <w:rFonts w:cs="Arial"/>
          <w:color w:val="FF0000"/>
          <w:sz w:val="18"/>
          <w:szCs w:val="18"/>
          <w:shd w:val="clear" w:color="auto" w:fill="FFFFFF"/>
        </w:rPr>
        <w:t>je odolná proti dezinfekčním prostředkům</w:t>
      </w:r>
      <w:r>
        <w:rPr>
          <w:rFonts w:cs="Arial"/>
          <w:color w:val="202122"/>
          <w:sz w:val="18"/>
          <w:szCs w:val="18"/>
          <w:shd w:val="clear" w:color="auto" w:fill="FFFFFF"/>
        </w:rPr>
        <w:t xml:space="preserve"> a ve vysušeném stavu může přečkat i týdny životaschopná. Její </w:t>
      </w:r>
      <w:hyperlink r:id="rId230" w:tgtFrame="Buněčná stěna">
        <w:r>
          <w:rPr>
            <w:rStyle w:val="Internetovodkaz"/>
            <w:rFonts w:cs="Arial"/>
            <w:color w:val="0B0080"/>
            <w:sz w:val="18"/>
            <w:szCs w:val="18"/>
            <w:highlight w:val="white"/>
          </w:rPr>
          <w:t>buněčná stěna</w:t>
        </w:r>
      </w:hyperlink>
      <w:r>
        <w:rPr>
          <w:rFonts w:cs="Arial"/>
          <w:color w:val="202122"/>
          <w:sz w:val="18"/>
          <w:szCs w:val="18"/>
          <w:shd w:val="clear" w:color="auto" w:fill="FFFFFF"/>
        </w:rPr>
        <w:t> s vysokým obsahem </w:t>
      </w:r>
      <w:hyperlink r:id="rId231" w:tgtFrame="Lipidy">
        <w:r>
          <w:rPr>
            <w:rStyle w:val="Internetovodkaz"/>
            <w:rFonts w:cs="Arial"/>
            <w:color w:val="0B0080"/>
            <w:sz w:val="18"/>
            <w:szCs w:val="18"/>
            <w:highlight w:val="white"/>
          </w:rPr>
          <w:t>lipidů</w:t>
        </w:r>
      </w:hyperlink>
      <w:r>
        <w:rPr>
          <w:rFonts w:cs="Arial"/>
          <w:color w:val="202122"/>
          <w:sz w:val="18"/>
          <w:szCs w:val="18"/>
          <w:shd w:val="clear" w:color="auto" w:fill="FFFFFF"/>
        </w:rPr>
        <w:t> (zejména </w:t>
      </w:r>
      <w:hyperlink r:id="rId232" w:tgtFrame="Kyselina mykolová (stránka neexistuje)">
        <w:r>
          <w:rPr>
            <w:rStyle w:val="Internetovodkaz"/>
            <w:rFonts w:cs="Arial"/>
            <w:color w:val="A55858"/>
            <w:sz w:val="18"/>
            <w:szCs w:val="18"/>
            <w:highlight w:val="white"/>
          </w:rPr>
          <w:t>kyseliny mykolové</w:t>
        </w:r>
      </w:hyperlink>
      <w:r>
        <w:rPr>
          <w:rFonts w:cs="Arial"/>
          <w:color w:val="202122"/>
          <w:sz w:val="18"/>
          <w:szCs w:val="18"/>
          <w:shd w:val="clear" w:color="auto" w:fill="FFFFFF"/>
        </w:rPr>
        <w:t>) pravděpodobně způsobuje její vysokou rezistenci a je také klíčovým faktorem </w:t>
      </w:r>
      <w:hyperlink r:id="rId233">
        <w:r>
          <w:rPr>
            <w:rStyle w:val="Internetovodkaz"/>
            <w:rFonts w:cs="Arial"/>
            <w:color w:val="0B0080"/>
            <w:sz w:val="18"/>
            <w:szCs w:val="18"/>
            <w:highlight w:val="white"/>
          </w:rPr>
          <w:t>virulence</w:t>
        </w:r>
      </w:hyperlink>
      <w:r>
        <w:t>.</w:t>
      </w:r>
    </w:p>
    <w:p w:rsidR="00287B1D" w:rsidRDefault="00287B1D">
      <w:pPr>
        <w:spacing w:after="0"/>
        <w:ind w:right="283"/>
        <w:jc w:val="both"/>
        <w:rPr>
          <w:color w:val="FF0000"/>
          <w:sz w:val="18"/>
          <w:szCs w:val="18"/>
        </w:rPr>
      </w:pPr>
    </w:p>
    <w:p w:rsidR="00287B1D" w:rsidRDefault="00BB6CB9">
      <w:pPr>
        <w:spacing w:line="240" w:lineRule="auto"/>
        <w:ind w:left="-426"/>
        <w:rPr>
          <w:rFonts w:cstheme="minorHAnsi"/>
          <w:sz w:val="14"/>
          <w:szCs w:val="14"/>
        </w:rPr>
      </w:pPr>
      <w:proofErr w:type="gramStart"/>
      <w:r>
        <w:rPr>
          <w:rFonts w:cstheme="minorHAnsi"/>
          <w:sz w:val="14"/>
          <w:szCs w:val="14"/>
        </w:rPr>
        <w:t>Obr.24</w:t>
      </w:r>
      <w:proofErr w:type="gramEnd"/>
      <w:r>
        <w:rPr>
          <w:rFonts w:cstheme="minorHAnsi"/>
          <w:sz w:val="14"/>
          <w:szCs w:val="14"/>
        </w:rPr>
        <w:t xml:space="preserve"> e) Sledovanou </w:t>
      </w:r>
      <w:r>
        <w:rPr>
          <w:sz w:val="14"/>
          <w:szCs w:val="14"/>
        </w:rPr>
        <w:t>Mycobacteria Tuberculosis,</w:t>
      </w:r>
      <w:r>
        <w:rPr>
          <w:rFonts w:cstheme="minorHAnsi"/>
          <w:sz w:val="14"/>
          <w:szCs w:val="14"/>
        </w:rPr>
        <w:t xml:space="preserve"> vyskytující se v kontaminované vodě, AQ3 Mini   zachytí, deaktivuje</w:t>
      </w:r>
    </w:p>
    <w:p w:rsidR="00287B1D" w:rsidRDefault="00287B1D">
      <w:pPr>
        <w:spacing w:line="240" w:lineRule="auto"/>
        <w:ind w:left="-426"/>
        <w:rPr>
          <w:rFonts w:cstheme="minorHAnsi"/>
          <w:sz w:val="14"/>
          <w:szCs w:val="14"/>
        </w:rPr>
      </w:pPr>
    </w:p>
    <w:p w:rsidR="00287B1D" w:rsidRDefault="00BB6CB9">
      <w:pPr>
        <w:spacing w:after="0"/>
        <w:ind w:right="283"/>
        <w:jc w:val="both"/>
        <w:rPr>
          <w:sz w:val="18"/>
          <w:szCs w:val="18"/>
        </w:rPr>
      </w:pPr>
      <w:r>
        <w:rPr>
          <w:noProof/>
          <w:lang w:eastAsia="cs-CZ"/>
        </w:rPr>
        <w:lastRenderedPageBreak/>
        <w:drawing>
          <wp:inline distT="0" distB="0" distL="0" distR="0">
            <wp:extent cx="2913380" cy="1458595"/>
            <wp:effectExtent l="0" t="0" r="0" b="0"/>
            <wp:docPr id="100" name="Obrázek 109" descr="Nobel Prize for H. pylori Discovery | Gastrointestinal Soc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Obrázek 109" descr="Nobel Prize for H. pylori Discovery | Gastrointestinal Society"/>
                    <pic:cNvPicPr>
                      <a:picLocks noChangeAspect="1" noChangeArrowheads="1"/>
                    </pic:cNvPicPr>
                  </pic:nvPicPr>
                  <pic:blipFill>
                    <a:blip r:embed="rId234"/>
                    <a:stretch>
                      <a:fillRect/>
                    </a:stretch>
                  </pic:blipFill>
                  <pic:spPr bwMode="auto">
                    <a:xfrm>
                      <a:off x="0" y="0"/>
                      <a:ext cx="2913380" cy="1458595"/>
                    </a:xfrm>
                    <a:prstGeom prst="rect">
                      <a:avLst/>
                    </a:prstGeom>
                  </pic:spPr>
                </pic:pic>
              </a:graphicData>
            </a:graphic>
          </wp:inline>
        </w:drawing>
      </w:r>
      <w:r>
        <w:rPr>
          <w:sz w:val="18"/>
          <w:szCs w:val="18"/>
        </w:rPr>
        <w:t xml:space="preserve">         </w:t>
      </w:r>
      <w:r>
        <w:rPr>
          <w:noProof/>
          <w:lang w:eastAsia="cs-CZ"/>
        </w:rPr>
        <w:drawing>
          <wp:inline distT="0" distB="0" distL="0" distR="0">
            <wp:extent cx="2610485" cy="1467485"/>
            <wp:effectExtent l="0" t="0" r="0" b="0"/>
            <wp:docPr id="101" name="Obrázek 110" descr="Jak zničit zlatého stafylokoka, který odolá i antibiotikům? Nemocným dává  naději fág P68 — ČT24 — Česká telev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Obrázek 110" descr="Jak zničit zlatého stafylokoka, který odolá i antibiotikům? Nemocným dává  naději fág P68 — ČT24 — Česká televize"/>
                    <pic:cNvPicPr>
                      <a:picLocks noChangeAspect="1" noChangeArrowheads="1"/>
                    </pic:cNvPicPr>
                  </pic:nvPicPr>
                  <pic:blipFill>
                    <a:blip r:embed="rId235"/>
                    <a:stretch>
                      <a:fillRect/>
                    </a:stretch>
                  </pic:blipFill>
                  <pic:spPr bwMode="auto">
                    <a:xfrm>
                      <a:off x="0" y="0"/>
                      <a:ext cx="2610485" cy="1467485"/>
                    </a:xfrm>
                    <a:prstGeom prst="rect">
                      <a:avLst/>
                    </a:prstGeom>
                  </pic:spPr>
                </pic:pic>
              </a:graphicData>
            </a:graphic>
          </wp:inline>
        </w:drawing>
      </w:r>
    </w:p>
    <w:p w:rsidR="00287B1D" w:rsidRDefault="00BB6CB9">
      <w:pPr>
        <w:spacing w:after="0"/>
        <w:ind w:right="283" w:firstLine="708"/>
        <w:jc w:val="both"/>
        <w:rPr>
          <w:rFonts w:ascii="Segoe UI Black" w:hAnsi="Segoe UI Black"/>
          <w:sz w:val="14"/>
          <w:szCs w:val="14"/>
        </w:rPr>
      </w:pPr>
      <w:r>
        <w:rPr>
          <w:rFonts w:ascii="Segoe UI Black" w:hAnsi="Segoe UI Black"/>
          <w:sz w:val="14"/>
          <w:szCs w:val="14"/>
        </w:rPr>
        <w:t xml:space="preserve">                      Obr. f) Heliobacter </w:t>
      </w:r>
      <w:proofErr w:type="gramStart"/>
      <w:r>
        <w:rPr>
          <w:rFonts w:ascii="Segoe UI Black" w:hAnsi="Segoe UI Black"/>
          <w:sz w:val="14"/>
          <w:szCs w:val="14"/>
        </w:rPr>
        <w:t>Pylori                                                                      Obr.</w:t>
      </w:r>
      <w:proofErr w:type="gramEnd"/>
      <w:r>
        <w:rPr>
          <w:rFonts w:ascii="Segoe UI Black" w:hAnsi="Segoe UI Black"/>
          <w:sz w:val="14"/>
          <w:szCs w:val="14"/>
        </w:rPr>
        <w:t xml:space="preserve"> g) Staphylococcus Aureus</w:t>
      </w:r>
    </w:p>
    <w:p w:rsidR="00287B1D" w:rsidRDefault="00287B1D">
      <w:pPr>
        <w:spacing w:after="0"/>
        <w:ind w:right="283"/>
        <w:jc w:val="both"/>
        <w:rPr>
          <w:sz w:val="18"/>
          <w:szCs w:val="18"/>
        </w:rPr>
      </w:pPr>
    </w:p>
    <w:p w:rsidR="00287B1D" w:rsidRDefault="00BB6CB9">
      <w:pPr>
        <w:spacing w:after="0"/>
        <w:jc w:val="center"/>
        <w:rPr>
          <w:color w:val="FF0000"/>
          <w:sz w:val="18"/>
          <w:szCs w:val="18"/>
        </w:rPr>
      </w:pPr>
      <w:r>
        <w:rPr>
          <w:sz w:val="18"/>
          <w:szCs w:val="18"/>
        </w:rPr>
        <w:t>Bacterie</w:t>
      </w:r>
      <w:r>
        <w:rPr>
          <w:color w:val="FF0000"/>
          <w:sz w:val="18"/>
          <w:szCs w:val="18"/>
        </w:rPr>
        <w:t xml:space="preserve"> (Helicobacter Pylori, </w:t>
      </w:r>
      <w:r>
        <w:rPr>
          <w:rFonts w:cs="Arial"/>
          <w:bCs/>
          <w:iCs/>
          <w:color w:val="FF0000"/>
          <w:sz w:val="18"/>
          <w:szCs w:val="18"/>
          <w:shd w:val="clear" w:color="auto" w:fill="FFFFFF"/>
        </w:rPr>
        <w:t>Staphylococcus Aureus</w:t>
      </w:r>
      <w:r>
        <w:rPr>
          <w:color w:val="FF0000"/>
          <w:sz w:val="18"/>
          <w:szCs w:val="18"/>
        </w:rPr>
        <w:t>)</w:t>
      </w:r>
    </w:p>
    <w:p w:rsidR="00287B1D" w:rsidRDefault="00BB6CB9">
      <w:pPr>
        <w:ind w:left="-426" w:right="283"/>
        <w:jc w:val="both"/>
        <w:rPr>
          <w:sz w:val="18"/>
          <w:szCs w:val="18"/>
          <w:highlight w:val="white"/>
        </w:rPr>
      </w:pPr>
      <w:r>
        <w:rPr>
          <w:b/>
          <w:i/>
          <w:sz w:val="18"/>
          <w:szCs w:val="18"/>
        </w:rPr>
        <w:t xml:space="preserve">Helicobacter pylori </w:t>
      </w:r>
      <w:r>
        <w:rPr>
          <w:sz w:val="18"/>
          <w:szCs w:val="18"/>
        </w:rPr>
        <w:t xml:space="preserve">je druh mikroaerofilní gramnegativní patogenní bakterie, jež napadá sliznici žaludku. </w:t>
      </w:r>
      <w:r>
        <w:rPr>
          <w:sz w:val="18"/>
          <w:szCs w:val="18"/>
          <w:shd w:val="clear" w:color="auto" w:fill="FFFFFF"/>
        </w:rPr>
        <w:t xml:space="preserve">Kromě křečí v břiše a pálení žáhy může přivodit peptické vředy, zánět žaludku, či dokonce rakovinu žaludku. </w:t>
      </w:r>
      <w:r>
        <w:rPr>
          <w:rFonts w:cs="Segoe UI"/>
          <w:color w:val="212529"/>
          <w:sz w:val="18"/>
          <w:szCs w:val="18"/>
          <w:shd w:val="clear" w:color="auto" w:fill="FFFFFF"/>
        </w:rPr>
        <w:t xml:space="preserve">Kolonizace sliznice gastroduodena je doprovázena vznikem chronické gastritidy, která ale jako taková představuje heterogenní skupinu zánětlivých procesů různé etiologie. Déle trvající chronická gastritis způsobená  </w:t>
      </w:r>
      <w:proofErr w:type="gramStart"/>
      <w:r>
        <w:rPr>
          <w:rFonts w:cs="Segoe UI"/>
          <w:i/>
          <w:iCs/>
          <w:color w:val="212529"/>
          <w:sz w:val="18"/>
          <w:szCs w:val="18"/>
          <w:shd w:val="clear" w:color="auto" w:fill="FFFFFF"/>
        </w:rPr>
        <w:t>H.pylori</w:t>
      </w:r>
      <w:proofErr w:type="gramEnd"/>
      <w:r>
        <w:rPr>
          <w:rFonts w:cs="Segoe UI"/>
          <w:color w:val="212529"/>
          <w:sz w:val="18"/>
          <w:szCs w:val="18"/>
          <w:shd w:val="clear" w:color="auto" w:fill="FFFFFF"/>
        </w:rPr>
        <w:t> může vést až k atrofii sliznice a ke vzniku intestinální metaplázie, nejčastějšímu prekurzoru adenokarcinomu žaludku intestinálního typu.</w:t>
      </w:r>
      <w:r>
        <w:rPr>
          <w:sz w:val="18"/>
          <w:szCs w:val="18"/>
          <w:shd w:val="clear" w:color="auto" w:fill="FFFFFF"/>
        </w:rPr>
        <w:t xml:space="preserve"> </w:t>
      </w:r>
    </w:p>
    <w:p w:rsidR="00287B1D" w:rsidRDefault="00BB6CB9">
      <w:pPr>
        <w:ind w:left="-426" w:right="283"/>
        <w:jc w:val="both"/>
        <w:rPr>
          <w:sz w:val="18"/>
          <w:szCs w:val="18"/>
        </w:rPr>
      </w:pPr>
      <w:r>
        <w:rPr>
          <w:sz w:val="18"/>
          <w:szCs w:val="18"/>
          <w:shd w:val="clear" w:color="auto" w:fill="FFFFFF"/>
        </w:rPr>
        <w:t xml:space="preserve">Její zákeřnost ale spočívá v tom, že </w:t>
      </w:r>
      <w:r>
        <w:rPr>
          <w:color w:val="FF0000"/>
          <w:sz w:val="18"/>
          <w:szCs w:val="18"/>
          <w:shd w:val="clear" w:color="auto" w:fill="FFFFFF"/>
        </w:rPr>
        <w:t>začíná být rezistentní na léčbu antibiotiky</w:t>
      </w:r>
      <w:r>
        <w:rPr>
          <w:sz w:val="18"/>
          <w:szCs w:val="18"/>
          <w:shd w:val="clear" w:color="auto" w:fill="FFFFFF"/>
        </w:rPr>
        <w:t>.</w:t>
      </w:r>
      <w:r>
        <w:rPr>
          <w:sz w:val="18"/>
          <w:szCs w:val="18"/>
        </w:rPr>
        <w:t xml:space="preserve"> </w:t>
      </w:r>
      <w:r>
        <w:rPr>
          <w:rFonts w:cs="Segoe UI"/>
          <w:i/>
          <w:iCs/>
          <w:color w:val="212529"/>
          <w:sz w:val="18"/>
          <w:szCs w:val="18"/>
          <w:shd w:val="clear" w:color="auto" w:fill="FFFFFF"/>
        </w:rPr>
        <w:t>Helicobacter pylori</w:t>
      </w:r>
      <w:r>
        <w:rPr>
          <w:rFonts w:cs="Segoe UI"/>
          <w:color w:val="212529"/>
          <w:sz w:val="18"/>
          <w:szCs w:val="18"/>
          <w:shd w:val="clear" w:color="auto" w:fill="FFFFFF"/>
        </w:rPr>
        <w:t> je podle WHO klasifikován jako </w:t>
      </w:r>
      <w:hyperlink r:id="rId236" w:tgtFrame="Kancerogeny">
        <w:r>
          <w:rPr>
            <w:rStyle w:val="Internetovodkaz"/>
            <w:rFonts w:cs="Segoe UI"/>
            <w:bCs/>
            <w:color w:val="007BFF"/>
            <w:sz w:val="18"/>
            <w:szCs w:val="18"/>
          </w:rPr>
          <w:t>kancerogen 1. třídy</w:t>
        </w:r>
      </w:hyperlink>
      <w:r>
        <w:rPr>
          <w:rFonts w:cs="Segoe UI"/>
          <w:color w:val="212529"/>
          <w:sz w:val="18"/>
          <w:szCs w:val="18"/>
          <w:shd w:val="clear" w:color="auto" w:fill="FFFFFF"/>
        </w:rPr>
        <w:t>.</w:t>
      </w:r>
      <w:r>
        <w:rPr>
          <w:sz w:val="18"/>
          <w:szCs w:val="18"/>
        </w:rPr>
        <w:t xml:space="preserve"> Čistě lidský patogen, nebyl zjištěn u zvířat ani v půdě, předpokladá se, že je infikováno kolem 50 % populace. Výskyt je nižší v rozvinutých krajinách, přenos z člověka na člověka je možný jak přímý i nepřímý (</w:t>
      </w:r>
      <w:r>
        <w:rPr>
          <w:color w:val="FF0000"/>
          <w:sz w:val="18"/>
          <w:szCs w:val="18"/>
        </w:rPr>
        <w:t>kontaminovaná voda</w:t>
      </w:r>
      <w:r>
        <w:rPr>
          <w:sz w:val="18"/>
          <w:szCs w:val="18"/>
        </w:rPr>
        <w:t xml:space="preserve">, potraviny, příbor, nádobí). </w:t>
      </w:r>
    </w:p>
    <w:p w:rsidR="00287B1D" w:rsidRDefault="00BB6CB9">
      <w:pPr>
        <w:ind w:left="-426" w:right="283"/>
        <w:jc w:val="both"/>
        <w:rPr>
          <w:sz w:val="18"/>
          <w:szCs w:val="18"/>
        </w:rPr>
      </w:pPr>
      <w:r>
        <w:rPr>
          <w:sz w:val="18"/>
          <w:szCs w:val="18"/>
        </w:rPr>
        <w:t xml:space="preserve">Většina infekcí je získaná v dětství − nejčastější je přímý přenos od infikované matky; ale vyskytují se i nové infekce v dospělosti, ohrožené jsou hlavně osoby s poruchou imunity. </w:t>
      </w:r>
      <w:r>
        <w:rPr>
          <w:i/>
          <w:sz w:val="18"/>
          <w:szCs w:val="18"/>
          <w:u w:val="single"/>
        </w:rPr>
        <w:t>Příznaky a projevy bakterie Helikobacter pylori</w:t>
      </w:r>
      <w:r>
        <w:rPr>
          <w:sz w:val="18"/>
          <w:szCs w:val="18"/>
        </w:rPr>
        <w:t>: nadýmání, pálení žaludku, bolesti v oblasti břicha, zápach z úst, nevolnost a zvracení, nechutenství, pocity špatného trávení, únava.</w:t>
      </w:r>
    </w:p>
    <w:p w:rsidR="00287B1D" w:rsidRDefault="00BB6CB9">
      <w:pPr>
        <w:ind w:left="-426" w:right="283"/>
        <w:jc w:val="both"/>
        <w:rPr>
          <w:sz w:val="18"/>
          <w:szCs w:val="18"/>
        </w:rPr>
      </w:pPr>
      <w:r>
        <w:rPr>
          <w:sz w:val="18"/>
          <w:szCs w:val="18"/>
        </w:rPr>
        <w:t>Bakterie Helicobacer pylori se vyskytuje i na předmětech jako jsou jídelní příbory nebo talíře. Bakterie na nich přežívají přibližně dvě minuty, poté už byste se při styku s nimi neměli nakazit.</w:t>
      </w:r>
    </w:p>
    <w:p w:rsidR="00287B1D" w:rsidRDefault="00BB6CB9">
      <w:pPr>
        <w:ind w:left="-426"/>
        <w:jc w:val="both"/>
      </w:pPr>
      <w:r>
        <w:rPr>
          <w:sz w:val="18"/>
          <w:szCs w:val="18"/>
        </w:rPr>
        <w:t>Nejvíce náchylní k infekci jsou osoby </w:t>
      </w:r>
      <w:hyperlink r:id="rId237">
        <w:r>
          <w:rPr>
            <w:rStyle w:val="Internetovodkaz"/>
            <w:sz w:val="18"/>
            <w:szCs w:val="18"/>
            <w:u w:val="none"/>
          </w:rPr>
          <w:t>s oslabenou imunitou</w:t>
        </w:r>
      </w:hyperlink>
      <w:r>
        <w:t>.</w:t>
      </w:r>
    </w:p>
    <w:p w:rsidR="00287B1D" w:rsidRDefault="00BB6CB9">
      <w:pPr>
        <w:spacing w:after="0"/>
        <w:ind w:left="-426" w:right="284"/>
        <w:jc w:val="both"/>
        <w:rPr>
          <w:rFonts w:cs="Arial"/>
          <w:color w:val="202122"/>
          <w:sz w:val="18"/>
          <w:szCs w:val="18"/>
          <w:highlight w:val="white"/>
        </w:rPr>
      </w:pPr>
      <w:r>
        <w:rPr>
          <w:rFonts w:cs="Arial"/>
          <w:b/>
          <w:bCs/>
          <w:i/>
          <w:iCs/>
          <w:color w:val="202122"/>
          <w:sz w:val="18"/>
          <w:szCs w:val="18"/>
          <w:shd w:val="clear" w:color="auto" w:fill="FFFFFF"/>
        </w:rPr>
        <w:t xml:space="preserve">Staphylococcus aureus </w:t>
      </w:r>
      <w:r>
        <w:rPr>
          <w:rFonts w:cs="Arial"/>
          <w:color w:val="202122"/>
          <w:sz w:val="18"/>
          <w:szCs w:val="18"/>
          <w:shd w:val="clear" w:color="auto" w:fill="FFFFFF"/>
        </w:rPr>
        <w:t> (</w:t>
      </w:r>
      <w:r>
        <w:rPr>
          <w:rFonts w:cs="Arial"/>
          <w:b/>
          <w:bCs/>
          <w:color w:val="202122"/>
          <w:sz w:val="18"/>
          <w:szCs w:val="18"/>
          <w:shd w:val="clear" w:color="auto" w:fill="FFFFFF"/>
        </w:rPr>
        <w:t>zlatý stafylokok</w:t>
      </w:r>
      <w:r>
        <w:rPr>
          <w:rFonts w:cs="Arial"/>
          <w:color w:val="202122"/>
          <w:sz w:val="18"/>
          <w:szCs w:val="18"/>
          <w:shd w:val="clear" w:color="auto" w:fill="FFFFFF"/>
        </w:rPr>
        <w:t>), je </w:t>
      </w:r>
      <w:hyperlink r:id="rId238" w:tgtFrame="Grampozitivní bakterie">
        <w:r>
          <w:rPr>
            <w:rStyle w:val="Internetovodkaz"/>
            <w:rFonts w:cs="Arial"/>
            <w:color w:val="0B0080"/>
            <w:sz w:val="18"/>
            <w:szCs w:val="18"/>
            <w:highlight w:val="white"/>
          </w:rPr>
          <w:t>grampozitivní</w:t>
        </w:r>
      </w:hyperlink>
      <w:r>
        <w:rPr>
          <w:rFonts w:cs="Arial"/>
          <w:color w:val="202122"/>
          <w:sz w:val="18"/>
          <w:szCs w:val="18"/>
          <w:shd w:val="clear" w:color="auto" w:fill="FFFFFF"/>
        </w:rPr>
        <w:t> </w:t>
      </w:r>
      <w:hyperlink r:id="rId239" w:tgtFrame="Bakterie">
        <w:r>
          <w:rPr>
            <w:rStyle w:val="Internetovodkaz"/>
            <w:rFonts w:cs="Arial"/>
            <w:color w:val="0B0080"/>
            <w:sz w:val="18"/>
            <w:szCs w:val="18"/>
            <w:highlight w:val="white"/>
          </w:rPr>
          <w:t>bakterie</w:t>
        </w:r>
      </w:hyperlink>
      <w:r>
        <w:rPr>
          <w:rFonts w:cs="Arial"/>
          <w:color w:val="202122"/>
          <w:sz w:val="18"/>
          <w:szCs w:val="18"/>
          <w:shd w:val="clear" w:color="auto" w:fill="FFFFFF"/>
        </w:rPr>
        <w:t> patřící do rodu </w:t>
      </w:r>
      <w:hyperlink r:id="rId240" w:tgtFrame="Stafylokok">
        <w:r>
          <w:rPr>
            <w:rStyle w:val="Internetovodkaz"/>
            <w:rFonts w:cs="Arial"/>
            <w:color w:val="0B0080"/>
            <w:sz w:val="18"/>
            <w:szCs w:val="18"/>
            <w:highlight w:val="white"/>
          </w:rPr>
          <w:t>stafylokoků</w:t>
        </w:r>
      </w:hyperlink>
      <w:r>
        <w:rPr>
          <w:sz w:val="18"/>
          <w:szCs w:val="18"/>
        </w:rPr>
        <w:t xml:space="preserve">.   Je jedním </w:t>
      </w:r>
      <w:r>
        <w:rPr>
          <w:color w:val="FF0000"/>
          <w:sz w:val="18"/>
          <w:szCs w:val="18"/>
        </w:rPr>
        <w:t>z nejobávanějších lidských patogenů</w:t>
      </w:r>
      <w:r>
        <w:rPr>
          <w:sz w:val="18"/>
          <w:szCs w:val="18"/>
        </w:rPr>
        <w:t>, který způsobuje celou řadu infekcí</w:t>
      </w:r>
      <w:r>
        <w:rPr>
          <w:rFonts w:cs="Arial"/>
          <w:color w:val="202122"/>
          <w:sz w:val="18"/>
          <w:szCs w:val="18"/>
          <w:shd w:val="clear" w:color="auto" w:fill="FFFFFF"/>
        </w:rPr>
        <w:t xml:space="preserve"> v rozsahu od mírných zánětů kůže a měkkých tkání až po život ohrožující </w:t>
      </w:r>
      <w:hyperlink r:id="rId241" w:tgtFrame="Sepse">
        <w:r>
          <w:rPr>
            <w:rStyle w:val="Internetovodkaz"/>
            <w:rFonts w:cs="Arial"/>
            <w:color w:val="0B0080"/>
            <w:sz w:val="18"/>
            <w:szCs w:val="18"/>
            <w:highlight w:val="white"/>
          </w:rPr>
          <w:t>sepse</w:t>
        </w:r>
      </w:hyperlink>
      <w:r>
        <w:rPr>
          <w:rFonts w:cs="Arial"/>
          <w:color w:val="202122"/>
          <w:sz w:val="18"/>
          <w:szCs w:val="18"/>
          <w:shd w:val="clear" w:color="auto" w:fill="FFFFFF"/>
        </w:rPr>
        <w:t> („otravy krve“, směřující až do </w:t>
      </w:r>
      <w:hyperlink r:id="rId242" w:tgtFrame="Septický šok">
        <w:r>
          <w:rPr>
            <w:rStyle w:val="Internetovodkaz"/>
            <w:rFonts w:cs="Arial"/>
            <w:color w:val="0B0080"/>
            <w:sz w:val="18"/>
            <w:szCs w:val="18"/>
            <w:highlight w:val="white"/>
          </w:rPr>
          <w:t>septického šoku</w:t>
        </w:r>
      </w:hyperlink>
      <w:r>
        <w:rPr>
          <w:rFonts w:cs="Arial"/>
          <w:color w:val="202122"/>
          <w:sz w:val="18"/>
          <w:szCs w:val="18"/>
          <w:shd w:val="clear" w:color="auto" w:fill="FFFFFF"/>
        </w:rPr>
        <w:t> spojeného se selháváním </w:t>
      </w:r>
      <w:hyperlink r:id="rId243" w:tgtFrame="Orgán">
        <w:r>
          <w:rPr>
            <w:rStyle w:val="Internetovodkaz"/>
            <w:rFonts w:cs="Arial"/>
            <w:color w:val="0B0080"/>
            <w:sz w:val="18"/>
            <w:szCs w:val="18"/>
            <w:highlight w:val="white"/>
          </w:rPr>
          <w:t>orgánů</w:t>
        </w:r>
      </w:hyperlink>
      <w:r>
        <w:rPr>
          <w:rFonts w:cs="Arial"/>
          <w:color w:val="202122"/>
          <w:sz w:val="18"/>
          <w:szCs w:val="18"/>
          <w:shd w:val="clear" w:color="auto" w:fill="FFFFFF"/>
        </w:rPr>
        <w:t xml:space="preserve">), syndrom toxického šoku a nekrotizující pneumonie. </w:t>
      </w:r>
    </w:p>
    <w:p w:rsidR="00287B1D" w:rsidRDefault="00287B1D">
      <w:pPr>
        <w:spacing w:after="0"/>
        <w:ind w:left="-426" w:right="284"/>
        <w:jc w:val="both"/>
        <w:rPr>
          <w:rFonts w:cs="Arial"/>
          <w:color w:val="202122"/>
          <w:sz w:val="18"/>
          <w:szCs w:val="18"/>
          <w:highlight w:val="white"/>
        </w:rPr>
      </w:pPr>
    </w:p>
    <w:p w:rsidR="00287B1D" w:rsidRDefault="00BB6CB9">
      <w:pPr>
        <w:spacing w:after="0"/>
        <w:ind w:left="-426" w:right="284"/>
        <w:jc w:val="both"/>
        <w:rPr>
          <w:rFonts w:cs="Arial"/>
          <w:color w:val="202122"/>
          <w:sz w:val="18"/>
          <w:szCs w:val="18"/>
          <w:highlight w:val="white"/>
        </w:rPr>
      </w:pPr>
      <w:r>
        <w:rPr>
          <w:rFonts w:cs="Arial"/>
          <w:color w:val="202122"/>
          <w:sz w:val="18"/>
          <w:szCs w:val="18"/>
          <w:shd w:val="clear" w:color="auto" w:fill="FFFFFF"/>
        </w:rPr>
        <w:t>Patogenita této bakterie je výsledkem produkce </w:t>
      </w:r>
      <w:hyperlink r:id="rId244" w:tgtFrame="Toxin">
        <w:r>
          <w:rPr>
            <w:rStyle w:val="Internetovodkaz"/>
            <w:rFonts w:cs="Arial"/>
            <w:color w:val="0B0080"/>
            <w:sz w:val="18"/>
            <w:szCs w:val="18"/>
            <w:highlight w:val="white"/>
          </w:rPr>
          <w:t>toxinů</w:t>
        </w:r>
      </w:hyperlink>
      <w:r>
        <w:rPr>
          <w:rFonts w:cs="Arial"/>
          <w:color w:val="202122"/>
          <w:sz w:val="18"/>
          <w:szCs w:val="18"/>
          <w:shd w:val="clear" w:color="auto" w:fill="FFFFFF"/>
        </w:rPr>
        <w:t> (exfoliativní toxiny, enterotoxiny atd.), které způsobují ničení tkáně nemocného. Tvoří žlutý pigment (od toho odvozeno druhové jméno </w:t>
      </w:r>
      <w:r>
        <w:rPr>
          <w:rFonts w:cs="Arial"/>
          <w:i/>
          <w:iCs/>
          <w:color w:val="202122"/>
          <w:sz w:val="18"/>
          <w:szCs w:val="18"/>
          <w:shd w:val="clear" w:color="auto" w:fill="FFFFFF"/>
        </w:rPr>
        <w:t>aureus</w:t>
      </w:r>
      <w:r>
        <w:rPr>
          <w:rFonts w:cs="Arial"/>
          <w:color w:val="202122"/>
          <w:sz w:val="18"/>
          <w:szCs w:val="18"/>
          <w:shd w:val="clear" w:color="auto" w:fill="FFFFFF"/>
        </w:rPr>
        <w:t> – zlatý), zkvašuje </w:t>
      </w:r>
      <w:hyperlink r:id="rId245" w:tgtFrame="Mannitol">
        <w:r>
          <w:rPr>
            <w:rStyle w:val="Internetovodkaz"/>
            <w:rFonts w:cs="Arial"/>
            <w:color w:val="0B0080"/>
            <w:sz w:val="18"/>
            <w:szCs w:val="18"/>
            <w:highlight w:val="white"/>
          </w:rPr>
          <w:t>mannitol</w:t>
        </w:r>
      </w:hyperlink>
      <w:r>
        <w:rPr>
          <w:rFonts w:cs="Arial"/>
          <w:color w:val="202122"/>
          <w:sz w:val="18"/>
          <w:szCs w:val="18"/>
          <w:shd w:val="clear" w:color="auto" w:fill="FFFFFF"/>
        </w:rPr>
        <w:t xml:space="preserve"> a přibližně u třetiny lidské populace je přirozeně přítomen na kůži a sliznicích. </w:t>
      </w:r>
    </w:p>
    <w:p w:rsidR="00287B1D" w:rsidRDefault="00287B1D">
      <w:pPr>
        <w:spacing w:after="0"/>
        <w:ind w:left="-426" w:right="284"/>
        <w:jc w:val="both"/>
        <w:rPr>
          <w:rStyle w:val="Siln"/>
          <w:rFonts w:ascii="inherit" w:hAnsi="inherit" w:cs="Arial"/>
          <w:i/>
          <w:iCs/>
          <w:color w:val="2F2F2F"/>
          <w:sz w:val="18"/>
          <w:szCs w:val="18"/>
          <w:highlight w:val="white"/>
        </w:rPr>
      </w:pPr>
    </w:p>
    <w:p w:rsidR="00287B1D" w:rsidRDefault="00BB6CB9">
      <w:pPr>
        <w:spacing w:after="0"/>
        <w:ind w:left="-426" w:right="284"/>
        <w:jc w:val="both"/>
        <w:rPr>
          <w:rFonts w:cs="Arial"/>
          <w:color w:val="202122"/>
          <w:sz w:val="18"/>
          <w:szCs w:val="18"/>
          <w:highlight w:val="white"/>
        </w:rPr>
      </w:pPr>
      <w:r>
        <w:rPr>
          <w:rStyle w:val="Siln"/>
          <w:rFonts w:cs="Arial"/>
          <w:i/>
          <w:iCs/>
          <w:color w:val="2F2F2F"/>
          <w:sz w:val="18"/>
          <w:szCs w:val="18"/>
          <w:shd w:val="clear" w:color="auto" w:fill="FFFFFF"/>
        </w:rPr>
        <w:t>Staphylococcus aureus</w:t>
      </w:r>
      <w:r>
        <w:rPr>
          <w:rFonts w:ascii="Arial" w:hAnsi="Arial" w:cs="Arial"/>
          <w:color w:val="2F2F2F"/>
          <w:sz w:val="18"/>
          <w:szCs w:val="18"/>
          <w:shd w:val="clear" w:color="auto" w:fill="FFFFFF"/>
        </w:rPr>
        <w:t> (</w:t>
      </w:r>
      <w:r>
        <w:rPr>
          <w:rFonts w:cs="Arial"/>
          <w:color w:val="2F2F2F"/>
          <w:sz w:val="18"/>
          <w:szCs w:val="18"/>
          <w:shd w:val="clear" w:color="auto" w:fill="FFFFFF"/>
        </w:rPr>
        <w:t xml:space="preserve">zlatý stafylokok) je mikrob způsobující onemocnění z potravin. Je všudypřítomný. Vyskytuje se ve </w:t>
      </w:r>
      <w:r>
        <w:rPr>
          <w:rFonts w:cs="Arial"/>
          <w:color w:val="FF0000"/>
          <w:sz w:val="18"/>
          <w:szCs w:val="18"/>
          <w:shd w:val="clear" w:color="auto" w:fill="FFFFFF"/>
        </w:rPr>
        <w:t>vzduchu, prachu, vodě</w:t>
      </w:r>
      <w:r>
        <w:rPr>
          <w:rFonts w:cs="Arial"/>
          <w:color w:val="2F2F2F"/>
          <w:sz w:val="18"/>
          <w:szCs w:val="18"/>
          <w:shd w:val="clear" w:color="auto" w:fill="FFFFFF"/>
        </w:rPr>
        <w:t>. U člověka a zvířat je součástí mikroflóry dutiny ústní a nosní. Často se nachází na kůži. Bohatým zdrojem stafylokoků jsou kožní ranky a oděrky a infikované vřídky. Může se tedy přenášet rukama nebo kapénkami z nosu a úst.</w:t>
      </w:r>
    </w:p>
    <w:p w:rsidR="00287B1D" w:rsidRDefault="00287B1D">
      <w:pPr>
        <w:spacing w:after="0"/>
        <w:ind w:left="-426" w:right="284" w:firstLine="708"/>
        <w:jc w:val="both"/>
        <w:rPr>
          <w:rFonts w:cs="Arial"/>
          <w:color w:val="202122"/>
          <w:sz w:val="18"/>
          <w:szCs w:val="18"/>
          <w:highlight w:val="white"/>
        </w:rPr>
      </w:pPr>
    </w:p>
    <w:p w:rsidR="00287B1D" w:rsidRDefault="00BB6CB9">
      <w:pPr>
        <w:spacing w:after="0"/>
        <w:ind w:left="-426" w:right="284"/>
        <w:jc w:val="both"/>
        <w:rPr>
          <w:rFonts w:cs="Arial"/>
          <w:color w:val="202122"/>
          <w:sz w:val="18"/>
          <w:szCs w:val="18"/>
          <w:highlight w:val="white"/>
        </w:rPr>
      </w:pPr>
      <w:r>
        <w:rPr>
          <w:rFonts w:cs="Arial"/>
          <w:color w:val="202122"/>
          <w:sz w:val="18"/>
          <w:szCs w:val="18"/>
          <w:shd w:val="clear" w:color="auto" w:fill="FFFFFF"/>
        </w:rPr>
        <w:t>Přenos genů antibiotikové rezistence (např. na plazmidech) mezi kmeny </w:t>
      </w:r>
      <w:r>
        <w:rPr>
          <w:rFonts w:cs="Arial"/>
          <w:i/>
          <w:iCs/>
          <w:color w:val="202122"/>
          <w:sz w:val="18"/>
          <w:szCs w:val="18"/>
          <w:shd w:val="clear" w:color="auto" w:fill="FFFFFF"/>
        </w:rPr>
        <w:t>S. aureus</w:t>
      </w:r>
      <w:r>
        <w:rPr>
          <w:rFonts w:cs="Arial"/>
          <w:color w:val="202122"/>
          <w:sz w:val="18"/>
          <w:szCs w:val="18"/>
          <w:shd w:val="clear" w:color="auto" w:fill="FFFFFF"/>
        </w:rPr>
        <w:t> se uskutečňuje nejčastěji </w:t>
      </w:r>
      <w:hyperlink r:id="rId246" w:tgtFrame="Transdukce (genetika)">
        <w:r>
          <w:rPr>
            <w:rStyle w:val="Internetovodkaz"/>
            <w:rFonts w:cs="Arial"/>
            <w:color w:val="0B0080"/>
            <w:sz w:val="18"/>
            <w:szCs w:val="18"/>
            <w:highlight w:val="white"/>
          </w:rPr>
          <w:t>transdukcí</w:t>
        </w:r>
      </w:hyperlink>
      <w:r>
        <w:rPr>
          <w:rFonts w:cs="Arial"/>
          <w:color w:val="202122"/>
          <w:sz w:val="18"/>
          <w:szCs w:val="18"/>
          <w:shd w:val="clear" w:color="auto" w:fill="FFFFFF"/>
        </w:rPr>
        <w:t> prostřednictvím temperovaných bakteriofágů z čeledi </w:t>
      </w:r>
      <w:r>
        <w:rPr>
          <w:rFonts w:cs="Arial"/>
          <w:i/>
          <w:iCs/>
          <w:color w:val="202122"/>
          <w:sz w:val="18"/>
          <w:szCs w:val="18"/>
          <w:shd w:val="clear" w:color="auto" w:fill="FFFFFF"/>
        </w:rPr>
        <w:t>Siphoviridae</w:t>
      </w:r>
      <w:r>
        <w:rPr>
          <w:rFonts w:cs="Arial"/>
          <w:color w:val="202122"/>
          <w:sz w:val="18"/>
          <w:szCs w:val="18"/>
          <w:shd w:val="clear" w:color="auto" w:fill="FFFFFF"/>
        </w:rPr>
        <w:t>.</w:t>
      </w:r>
    </w:p>
    <w:p w:rsidR="00287B1D" w:rsidRDefault="00287B1D">
      <w:pPr>
        <w:spacing w:line="240" w:lineRule="auto"/>
        <w:ind w:left="-426"/>
        <w:rPr>
          <w:rFonts w:cstheme="minorHAnsi"/>
          <w:sz w:val="18"/>
          <w:szCs w:val="18"/>
        </w:rPr>
      </w:pPr>
    </w:p>
    <w:p w:rsidR="00287B1D" w:rsidRDefault="00BB6CB9">
      <w:pPr>
        <w:spacing w:line="240" w:lineRule="auto"/>
        <w:ind w:left="-426"/>
        <w:rPr>
          <w:rFonts w:cstheme="minorHAnsi"/>
          <w:sz w:val="14"/>
          <w:szCs w:val="14"/>
        </w:rPr>
      </w:pPr>
      <w:r>
        <w:rPr>
          <w:rFonts w:cstheme="minorHAnsi"/>
          <w:sz w:val="14"/>
          <w:szCs w:val="14"/>
        </w:rPr>
        <w:t xml:space="preserve">Obr.25  f, g) Sledované Heliobacter pylori a Staphylococcus aureus – MRSA, vyskytující se v kontaminované vodě, AQ3 </w:t>
      </w:r>
      <w:proofErr w:type="gramStart"/>
      <w:r>
        <w:rPr>
          <w:rFonts w:cstheme="minorHAnsi"/>
          <w:sz w:val="14"/>
          <w:szCs w:val="14"/>
        </w:rPr>
        <w:t>Mini   zachytí</w:t>
      </w:r>
      <w:proofErr w:type="gramEnd"/>
      <w:r>
        <w:rPr>
          <w:rFonts w:cstheme="minorHAnsi"/>
          <w:sz w:val="14"/>
          <w:szCs w:val="14"/>
        </w:rPr>
        <w:t>, deaktivuje</w:t>
      </w:r>
    </w:p>
    <w:p w:rsidR="00287B1D" w:rsidRDefault="00287B1D">
      <w:pPr>
        <w:spacing w:after="0"/>
        <w:rPr>
          <w:sz w:val="18"/>
          <w:szCs w:val="18"/>
        </w:rPr>
      </w:pPr>
    </w:p>
    <w:p w:rsidR="00287B1D" w:rsidRDefault="00BB6CB9">
      <w:pPr>
        <w:spacing w:after="0"/>
        <w:jc w:val="center"/>
        <w:rPr>
          <w:sz w:val="18"/>
          <w:szCs w:val="18"/>
        </w:rPr>
      </w:pPr>
      <w:r>
        <w:rPr>
          <w:noProof/>
          <w:lang w:eastAsia="cs-CZ"/>
        </w:rPr>
        <w:drawing>
          <wp:inline distT="0" distB="0" distL="0" distR="0">
            <wp:extent cx="1986915" cy="1323340"/>
            <wp:effectExtent l="0" t="0" r="0" b="0"/>
            <wp:docPr id="102" name="Obrázek 111" descr="Bacterium Acinetobacter Baumannii, Multidrug Resistant Nosocomial.. Stock  Photo, Picture And Royalty Free Image. Image 71335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Obrázek 111" descr="Bacterium Acinetobacter Baumannii, Multidrug Resistant Nosocomial.. Stock  Photo, Picture And Royalty Free Image. Image 71335623."/>
                    <pic:cNvPicPr>
                      <a:picLocks noChangeAspect="1" noChangeArrowheads="1"/>
                    </pic:cNvPicPr>
                  </pic:nvPicPr>
                  <pic:blipFill>
                    <a:blip r:embed="rId247"/>
                    <a:stretch>
                      <a:fillRect/>
                    </a:stretch>
                  </pic:blipFill>
                  <pic:spPr bwMode="auto">
                    <a:xfrm>
                      <a:off x="0" y="0"/>
                      <a:ext cx="1986915" cy="1323340"/>
                    </a:xfrm>
                    <a:prstGeom prst="rect">
                      <a:avLst/>
                    </a:prstGeom>
                  </pic:spPr>
                </pic:pic>
              </a:graphicData>
            </a:graphic>
          </wp:inline>
        </w:drawing>
      </w:r>
    </w:p>
    <w:p w:rsidR="00287B1D" w:rsidRDefault="00BB6CB9">
      <w:pPr>
        <w:spacing w:after="0"/>
        <w:jc w:val="center"/>
        <w:rPr>
          <w:rFonts w:ascii="Segoe UI Black" w:hAnsi="Segoe UI Black"/>
          <w:sz w:val="14"/>
          <w:szCs w:val="14"/>
        </w:rPr>
      </w:pPr>
      <w:r>
        <w:rPr>
          <w:rFonts w:ascii="Segoe UI Black" w:hAnsi="Segoe UI Black"/>
          <w:sz w:val="14"/>
          <w:szCs w:val="14"/>
        </w:rPr>
        <w:t>Obr. h)  Acinetobacter baumannii</w:t>
      </w:r>
    </w:p>
    <w:p w:rsidR="00287B1D" w:rsidRDefault="00287B1D">
      <w:pPr>
        <w:spacing w:after="0"/>
        <w:rPr>
          <w:sz w:val="18"/>
          <w:szCs w:val="18"/>
        </w:rPr>
      </w:pPr>
    </w:p>
    <w:p w:rsidR="00287B1D" w:rsidRDefault="00BB6CB9">
      <w:pPr>
        <w:spacing w:after="0"/>
        <w:jc w:val="center"/>
        <w:rPr>
          <w:rFonts w:ascii="Arial" w:hAnsi="Arial" w:cs="Arial"/>
          <w:bCs/>
          <w:color w:val="FF0000"/>
          <w:sz w:val="21"/>
          <w:szCs w:val="21"/>
          <w:highlight w:val="white"/>
        </w:rPr>
      </w:pPr>
      <w:r>
        <w:rPr>
          <w:sz w:val="18"/>
          <w:szCs w:val="18"/>
        </w:rPr>
        <w:t xml:space="preserve">Gram negativní bakterie </w:t>
      </w:r>
      <w:r>
        <w:rPr>
          <w:color w:val="FF0000"/>
          <w:sz w:val="18"/>
          <w:szCs w:val="18"/>
        </w:rPr>
        <w:t>(</w:t>
      </w:r>
      <w:r>
        <w:rPr>
          <w:rFonts w:ascii="Arial" w:hAnsi="Arial" w:cs="Arial"/>
          <w:bCs/>
          <w:color w:val="FF0000"/>
          <w:sz w:val="21"/>
          <w:szCs w:val="21"/>
          <w:shd w:val="clear" w:color="auto" w:fill="FFFFFF"/>
        </w:rPr>
        <w:t>Acinetobacter baumannii)</w:t>
      </w:r>
    </w:p>
    <w:p w:rsidR="00287B1D" w:rsidRDefault="00287B1D">
      <w:pPr>
        <w:spacing w:after="0"/>
        <w:jc w:val="center"/>
        <w:rPr>
          <w:rFonts w:ascii="Arial" w:hAnsi="Arial" w:cs="Arial"/>
          <w:b/>
          <w:bCs/>
          <w:color w:val="202122"/>
          <w:sz w:val="21"/>
          <w:szCs w:val="21"/>
          <w:highlight w:val="white"/>
        </w:rPr>
      </w:pPr>
    </w:p>
    <w:p w:rsidR="00287B1D" w:rsidRDefault="00BB6CB9">
      <w:pPr>
        <w:spacing w:after="0"/>
        <w:ind w:left="-426"/>
        <w:jc w:val="both"/>
        <w:rPr>
          <w:rFonts w:cs="Arial"/>
          <w:color w:val="202122"/>
          <w:sz w:val="18"/>
          <w:szCs w:val="18"/>
          <w:highlight w:val="white"/>
        </w:rPr>
      </w:pPr>
      <w:r>
        <w:rPr>
          <w:rFonts w:cs="Arial"/>
          <w:b/>
          <w:bCs/>
          <w:i/>
          <w:color w:val="202122"/>
          <w:sz w:val="18"/>
          <w:szCs w:val="18"/>
          <w:shd w:val="clear" w:color="auto" w:fill="FFFFFF"/>
        </w:rPr>
        <w:t>Acinetobacter baumannii</w:t>
      </w:r>
      <w:r>
        <w:rPr>
          <w:rFonts w:cs="Arial"/>
          <w:color w:val="202122"/>
          <w:sz w:val="18"/>
          <w:szCs w:val="18"/>
          <w:shd w:val="clear" w:color="auto" w:fill="FFFFFF"/>
        </w:rPr>
        <w:t> je multirezistentní </w:t>
      </w:r>
      <w:hyperlink r:id="rId248" w:tgtFrame="Gramnegativní bakterie">
        <w:r>
          <w:rPr>
            <w:rStyle w:val="Internetovodkaz"/>
            <w:rFonts w:cs="Arial"/>
            <w:color w:val="0B0080"/>
            <w:sz w:val="18"/>
            <w:szCs w:val="18"/>
            <w:highlight w:val="white"/>
          </w:rPr>
          <w:t>gramnegativní kmen bakterie</w:t>
        </w:r>
      </w:hyperlink>
      <w:r>
        <w:rPr>
          <w:rFonts w:cs="Arial"/>
          <w:color w:val="202122"/>
          <w:sz w:val="18"/>
          <w:szCs w:val="18"/>
          <w:shd w:val="clear" w:color="auto" w:fill="FFFFFF"/>
        </w:rPr>
        <w:t>, vyskytující se zcela běžně v </w:t>
      </w:r>
      <w:hyperlink r:id="rId249" w:tgtFrame="Příroda">
        <w:r>
          <w:rPr>
            <w:rStyle w:val="Internetovodkaz"/>
            <w:rFonts w:cs="Arial"/>
            <w:color w:val="0B0080"/>
            <w:sz w:val="18"/>
            <w:szCs w:val="18"/>
            <w:highlight w:val="white"/>
          </w:rPr>
          <w:t>přírodě</w:t>
        </w:r>
      </w:hyperlink>
      <w:r>
        <w:rPr>
          <w:rFonts w:cs="Arial"/>
          <w:color w:val="202122"/>
          <w:sz w:val="18"/>
          <w:szCs w:val="18"/>
          <w:shd w:val="clear" w:color="auto" w:fill="FFFFFF"/>
        </w:rPr>
        <w:t> </w:t>
      </w:r>
      <w:r>
        <w:rPr>
          <w:rFonts w:cs="Arial"/>
          <w:color w:val="FF0000"/>
          <w:sz w:val="18"/>
          <w:szCs w:val="18"/>
          <w:shd w:val="clear" w:color="auto" w:fill="FFFFFF"/>
        </w:rPr>
        <w:t>ve </w:t>
      </w:r>
      <w:hyperlink r:id="rId250" w:tgtFrame="Voda">
        <w:r>
          <w:rPr>
            <w:rStyle w:val="Internetovodkaz"/>
            <w:rFonts w:cs="Arial"/>
            <w:color w:val="FF0000"/>
            <w:sz w:val="18"/>
            <w:szCs w:val="18"/>
            <w:highlight w:val="white"/>
          </w:rPr>
          <w:t>vodě</w:t>
        </w:r>
      </w:hyperlink>
      <w:r>
        <w:rPr>
          <w:rFonts w:cs="Arial"/>
          <w:color w:val="202122"/>
          <w:sz w:val="18"/>
          <w:szCs w:val="18"/>
          <w:shd w:val="clear" w:color="auto" w:fill="FFFFFF"/>
        </w:rPr>
        <w:t>, </w:t>
      </w:r>
      <w:hyperlink r:id="rId251" w:tgtFrame="Půda">
        <w:r>
          <w:rPr>
            <w:rStyle w:val="Internetovodkaz"/>
            <w:rFonts w:cs="Arial"/>
            <w:color w:val="0B0080"/>
            <w:sz w:val="18"/>
            <w:szCs w:val="18"/>
            <w:highlight w:val="white"/>
          </w:rPr>
          <w:t>půdě</w:t>
        </w:r>
      </w:hyperlink>
      <w:r>
        <w:rPr>
          <w:rFonts w:cs="Arial"/>
          <w:color w:val="202122"/>
          <w:sz w:val="18"/>
          <w:szCs w:val="18"/>
          <w:shd w:val="clear" w:color="auto" w:fill="FFFFFF"/>
        </w:rPr>
        <w:t>, či v zdravotnických zařízeních. Pro zdravého člověka nepředstavuje zdravotní nebezpečí, u oslabených, či starých jedinců může avšak vyvolati </w:t>
      </w:r>
      <w:hyperlink r:id="rId252" w:tgtFrame="Zápal plic">
        <w:r>
          <w:rPr>
            <w:rStyle w:val="Internetovodkaz"/>
            <w:rFonts w:cs="Arial"/>
            <w:color w:val="0B0080"/>
            <w:sz w:val="18"/>
            <w:szCs w:val="18"/>
            <w:highlight w:val="white"/>
          </w:rPr>
          <w:t>zápal plic</w:t>
        </w:r>
      </w:hyperlink>
      <w:r>
        <w:rPr>
          <w:rFonts w:cs="Arial"/>
          <w:color w:val="202122"/>
          <w:sz w:val="18"/>
          <w:szCs w:val="18"/>
          <w:shd w:val="clear" w:color="auto" w:fill="FFFFFF"/>
        </w:rPr>
        <w:t>, </w:t>
      </w:r>
      <w:hyperlink r:id="rId253" w:tgtFrame="Sepse">
        <w:r>
          <w:rPr>
            <w:rStyle w:val="Internetovodkaz"/>
            <w:rFonts w:cs="Arial"/>
            <w:color w:val="0B0080"/>
            <w:sz w:val="18"/>
            <w:szCs w:val="18"/>
            <w:highlight w:val="white"/>
          </w:rPr>
          <w:t>sepsi</w:t>
        </w:r>
      </w:hyperlink>
      <w:r>
        <w:rPr>
          <w:rFonts w:cs="Arial"/>
          <w:color w:val="202122"/>
          <w:sz w:val="18"/>
          <w:szCs w:val="18"/>
          <w:shd w:val="clear" w:color="auto" w:fill="FFFFFF"/>
        </w:rPr>
        <w:t> a </w:t>
      </w:r>
      <w:hyperlink r:id="rId254" w:tgtFrame="Zánět">
        <w:r>
          <w:rPr>
            <w:rStyle w:val="Internetovodkaz"/>
            <w:rFonts w:cs="Arial"/>
            <w:color w:val="0B0080"/>
            <w:sz w:val="18"/>
            <w:szCs w:val="18"/>
            <w:highlight w:val="white"/>
          </w:rPr>
          <w:t>záněty</w:t>
        </w:r>
      </w:hyperlink>
      <w:r>
        <w:rPr>
          <w:rFonts w:cs="Arial"/>
          <w:color w:val="202122"/>
          <w:sz w:val="18"/>
          <w:szCs w:val="18"/>
          <w:shd w:val="clear" w:color="auto" w:fill="FFFFFF"/>
        </w:rPr>
        <w:t>. Tato bakterie vykazuje </w:t>
      </w:r>
      <w:hyperlink r:id="rId255" w:tgtFrame="Antibiotická rezistence">
        <w:r>
          <w:rPr>
            <w:rStyle w:val="Internetovodkaz"/>
            <w:rFonts w:cs="Arial"/>
            <w:color w:val="0B0080"/>
            <w:sz w:val="18"/>
            <w:szCs w:val="18"/>
            <w:highlight w:val="white"/>
          </w:rPr>
          <w:t>rezistenci</w:t>
        </w:r>
      </w:hyperlink>
      <w:r>
        <w:rPr>
          <w:rFonts w:cs="Arial"/>
          <w:color w:val="202122"/>
          <w:sz w:val="18"/>
          <w:szCs w:val="18"/>
          <w:shd w:val="clear" w:color="auto" w:fill="FFFFFF"/>
        </w:rPr>
        <w:t> vůči několika doposud známým a obvykle užívaným </w:t>
      </w:r>
      <w:hyperlink r:id="rId256" w:tgtFrame="Antibiotikum">
        <w:r>
          <w:rPr>
            <w:rStyle w:val="Internetovodkaz"/>
            <w:rFonts w:cs="Arial"/>
            <w:color w:val="0B0080"/>
            <w:sz w:val="18"/>
            <w:szCs w:val="18"/>
            <w:highlight w:val="white"/>
          </w:rPr>
          <w:t>antibiotikům</w:t>
        </w:r>
      </w:hyperlink>
      <w:r>
        <w:rPr>
          <w:rFonts w:cs="Arial"/>
          <w:color w:val="202122"/>
          <w:sz w:val="18"/>
          <w:szCs w:val="18"/>
          <w:shd w:val="clear" w:color="auto" w:fill="FFFFFF"/>
        </w:rPr>
        <w:t>, mezi něž patří kupříkladu </w:t>
      </w:r>
      <w:hyperlink r:id="rId257" w:tgtFrame="Penicilin">
        <w:r>
          <w:rPr>
            <w:rStyle w:val="Internetovodkaz"/>
            <w:rFonts w:cs="Arial"/>
            <w:color w:val="0B0080"/>
            <w:sz w:val="18"/>
            <w:szCs w:val="18"/>
            <w:highlight w:val="white"/>
          </w:rPr>
          <w:t>Penicilin</w:t>
        </w:r>
      </w:hyperlink>
      <w:r>
        <w:rPr>
          <w:rFonts w:cs="Arial"/>
          <w:color w:val="202122"/>
          <w:sz w:val="18"/>
          <w:szCs w:val="18"/>
          <w:shd w:val="clear" w:color="auto" w:fill="FFFFFF"/>
        </w:rPr>
        <w:t>, </w:t>
      </w:r>
      <w:hyperlink r:id="rId258" w:tgtFrame="Cefalosporin">
        <w:r>
          <w:rPr>
            <w:rStyle w:val="Internetovodkaz"/>
            <w:rFonts w:cs="Arial"/>
            <w:color w:val="0B0080"/>
            <w:sz w:val="18"/>
            <w:szCs w:val="18"/>
            <w:highlight w:val="white"/>
          </w:rPr>
          <w:t>Cefalosporin</w:t>
        </w:r>
      </w:hyperlink>
      <w:r>
        <w:rPr>
          <w:rFonts w:cs="Arial"/>
          <w:color w:val="202122"/>
          <w:sz w:val="18"/>
          <w:szCs w:val="18"/>
          <w:shd w:val="clear" w:color="auto" w:fill="FFFFFF"/>
        </w:rPr>
        <w:t>, </w:t>
      </w:r>
      <w:hyperlink r:id="rId259" w:tgtFrame="Fluorochinolon (stránka neexistuje)">
        <w:r>
          <w:rPr>
            <w:rStyle w:val="Internetovodkaz"/>
            <w:rFonts w:cs="Arial"/>
            <w:color w:val="A55858"/>
            <w:sz w:val="18"/>
            <w:szCs w:val="18"/>
            <w:highlight w:val="white"/>
          </w:rPr>
          <w:t>Fluorchinolon</w:t>
        </w:r>
      </w:hyperlink>
      <w:r>
        <w:rPr>
          <w:rFonts w:cs="Arial"/>
          <w:color w:val="202122"/>
          <w:sz w:val="18"/>
          <w:szCs w:val="18"/>
          <w:shd w:val="clear" w:color="auto" w:fill="FFFFFF"/>
        </w:rPr>
        <w:t> nebo </w:t>
      </w:r>
      <w:hyperlink r:id="rId260" w:tgtFrame="Karbapenem">
        <w:r>
          <w:rPr>
            <w:rStyle w:val="Internetovodkaz"/>
            <w:rFonts w:cs="Arial"/>
            <w:color w:val="0B0080"/>
            <w:sz w:val="18"/>
            <w:szCs w:val="18"/>
            <w:highlight w:val="white"/>
          </w:rPr>
          <w:t>Karbapenem</w:t>
        </w:r>
      </w:hyperlink>
      <w:r>
        <w:rPr>
          <w:rFonts w:cs="Arial"/>
          <w:color w:val="202122"/>
          <w:sz w:val="18"/>
          <w:szCs w:val="18"/>
          <w:shd w:val="clear" w:color="auto" w:fill="FFFFFF"/>
        </w:rPr>
        <w:t>.</w:t>
      </w:r>
    </w:p>
    <w:p w:rsidR="00287B1D" w:rsidRDefault="00287B1D">
      <w:pPr>
        <w:spacing w:line="240" w:lineRule="auto"/>
        <w:ind w:left="-426"/>
        <w:rPr>
          <w:rFonts w:cstheme="minorHAnsi"/>
          <w:sz w:val="14"/>
          <w:szCs w:val="14"/>
        </w:rPr>
      </w:pPr>
    </w:p>
    <w:p w:rsidR="00287B1D" w:rsidRDefault="00BB6CB9">
      <w:pPr>
        <w:spacing w:line="240" w:lineRule="auto"/>
        <w:ind w:left="-426"/>
        <w:rPr>
          <w:rFonts w:cstheme="minorHAnsi"/>
          <w:sz w:val="14"/>
          <w:szCs w:val="14"/>
        </w:rPr>
      </w:pPr>
      <w:proofErr w:type="gramStart"/>
      <w:r>
        <w:rPr>
          <w:rFonts w:cstheme="minorHAnsi"/>
          <w:sz w:val="14"/>
          <w:szCs w:val="14"/>
        </w:rPr>
        <w:t>Obr.26</w:t>
      </w:r>
      <w:proofErr w:type="gramEnd"/>
      <w:r>
        <w:rPr>
          <w:rFonts w:cstheme="minorHAnsi"/>
          <w:sz w:val="14"/>
          <w:szCs w:val="14"/>
        </w:rPr>
        <w:t xml:space="preserve"> h) Sledovanou Acinetobacter  baumanii, vyskytující se v kontaminované vodě, AQ3 Mini   zachytí, deaktivuje</w:t>
      </w:r>
    </w:p>
    <w:p w:rsidR="00287B1D" w:rsidRDefault="00287B1D">
      <w:pPr>
        <w:spacing w:line="240" w:lineRule="auto"/>
        <w:ind w:left="-426"/>
        <w:rPr>
          <w:rFonts w:cstheme="minorHAnsi"/>
          <w:sz w:val="14"/>
          <w:szCs w:val="14"/>
        </w:rPr>
      </w:pPr>
    </w:p>
    <w:p w:rsidR="00BB7A9C" w:rsidRDefault="00BB7A9C">
      <w:pPr>
        <w:spacing w:line="240" w:lineRule="auto"/>
        <w:ind w:left="-426"/>
        <w:rPr>
          <w:rFonts w:cstheme="minorHAnsi"/>
          <w:sz w:val="14"/>
          <w:szCs w:val="14"/>
        </w:rPr>
      </w:pPr>
    </w:p>
    <w:p w:rsidR="00287B1D" w:rsidRDefault="00BB6CB9">
      <w:pPr>
        <w:spacing w:line="240" w:lineRule="auto"/>
        <w:ind w:left="-426"/>
        <w:jc w:val="center"/>
        <w:rPr>
          <w:rFonts w:cstheme="minorHAnsi"/>
          <w:b/>
          <w:sz w:val="14"/>
          <w:szCs w:val="14"/>
        </w:rPr>
      </w:pPr>
      <w:r>
        <w:rPr>
          <w:rFonts w:eastAsia="Times New Roman" w:cs="Times New Roman"/>
          <w:b/>
          <w:color w:val="51514F"/>
          <w:sz w:val="18"/>
          <w:szCs w:val="18"/>
          <w:lang w:eastAsia="cs-CZ"/>
        </w:rPr>
        <w:t>Enterokoky</w:t>
      </w:r>
    </w:p>
    <w:p w:rsidR="00287B1D" w:rsidRDefault="00BB6CB9">
      <w:pPr>
        <w:ind w:left="-426"/>
        <w:jc w:val="both"/>
        <w:rPr>
          <w:sz w:val="18"/>
          <w:szCs w:val="18"/>
        </w:rPr>
      </w:pPr>
      <w:r>
        <w:rPr>
          <w:rFonts w:eastAsia="Times New Roman" w:cs="Times New Roman"/>
          <w:sz w:val="18"/>
          <w:szCs w:val="18"/>
          <w:lang w:eastAsia="cs-CZ"/>
        </w:rPr>
        <w:t xml:space="preserve">Enterokoky (Enterococcus) jsou přirozenou součástí střevní mikroflóry. Najdeme je ale i </w:t>
      </w:r>
      <w:r>
        <w:rPr>
          <w:rFonts w:eastAsia="Times New Roman" w:cs="Times New Roman"/>
          <w:color w:val="FF0000"/>
          <w:sz w:val="18"/>
          <w:szCs w:val="18"/>
          <w:lang w:eastAsia="cs-CZ"/>
        </w:rPr>
        <w:t>ve vodě</w:t>
      </w:r>
      <w:r>
        <w:rPr>
          <w:rFonts w:eastAsia="Times New Roman" w:cs="Times New Roman"/>
          <w:sz w:val="18"/>
          <w:szCs w:val="18"/>
          <w:lang w:eastAsia="cs-CZ"/>
        </w:rPr>
        <w:t xml:space="preserve">, v půdě a na rostlinách. Tyto bakterie odolávají vysokému pH a vysokým teplotám. Jsou také velmi rezistentní na antibiotika. Enterokoky patří mezi podmíněné patogeny. Způsobují infekce močových a žlučových cest, pooperační komplikace u operací dutiny břišní, gynekologické záněty a podílí se i na vzniku infekční endokarditidy. Přítomnost enterokoků </w:t>
      </w:r>
      <w:r>
        <w:rPr>
          <w:rFonts w:eastAsia="Times New Roman" w:cs="Times New Roman"/>
          <w:color w:val="FF0000"/>
          <w:sz w:val="18"/>
          <w:szCs w:val="18"/>
          <w:lang w:eastAsia="cs-CZ"/>
        </w:rPr>
        <w:t xml:space="preserve">ve vodě </w:t>
      </w:r>
      <w:r>
        <w:rPr>
          <w:rFonts w:eastAsia="Times New Roman" w:cs="Times New Roman"/>
          <w:sz w:val="18"/>
          <w:szCs w:val="18"/>
          <w:lang w:eastAsia="cs-CZ"/>
        </w:rPr>
        <w:t xml:space="preserve">je jeden z indikátorů fekálního znečištění. Nejvýznamnější roli hrají enterokoky v procesu fermentace mléčných a masných výrobků, ale byly také izolovány např. ze zeleniny, ryb nebo z černých oliv. V současnosti je popsáno 34 druhů tohoto rodu. </w:t>
      </w:r>
      <w:r>
        <w:rPr>
          <w:sz w:val="18"/>
          <w:szCs w:val="18"/>
        </w:rPr>
        <w:t xml:space="preserve">Enterokoky jsou grampozitivní koky sférického nebo ovoidního tvaru, které se vyskytují jednotlivě, ve dvojicích, ve shlucích nebo v krátkých řetízcích.  Jsou nesporulující, netvoří pouzdra a některé druhy mohou být pohyblivé. Enterokoky jsou fakultativně anaerobní, kataláza negativní, ale mohou vykazovat pseudokatalázovou aktivitu a dávat tak pozitivní výsledky, pokud se katalázový test provádí u kultur kultivovaných na médiu obsahujícím krev. Ideální teplota pro růst je 35°C a většina druhů roste v rozmezí 10-45°C. Enterokoky byly poprvé popsány roku 1899, kdy francouzský vědec Thiercelin použil poprvé označení „entérocoque“ pro grampozitivní diplokoky fekálního původu. Označení Streptococcus faecalis, které se pro enterokoky užívalo až do roku 1984, poprvé publikovali roku 1906 Andrews a Horder (Murray a Weinstock </w:t>
      </w:r>
      <w:proofErr w:type="gramStart"/>
      <w:r>
        <w:rPr>
          <w:sz w:val="18"/>
          <w:szCs w:val="18"/>
        </w:rPr>
        <w:t>1999).Vyčlenění</w:t>
      </w:r>
      <w:proofErr w:type="gramEnd"/>
      <w:r>
        <w:rPr>
          <w:sz w:val="18"/>
          <w:szCs w:val="18"/>
        </w:rPr>
        <w:t xml:space="preserve"> enterokoků ze skupiny streptokoků poprvé navrhl ve své práci roku 1937 Sherman, kde rozdělil streptokoky na pyogenní, viridující, mléčné a enterokoky.</w:t>
      </w:r>
    </w:p>
    <w:p w:rsidR="00287B1D" w:rsidRDefault="00BB6CB9">
      <w:pPr>
        <w:ind w:left="-426"/>
        <w:jc w:val="center"/>
        <w:rPr>
          <w:b/>
          <w:sz w:val="18"/>
          <w:szCs w:val="18"/>
        </w:rPr>
      </w:pPr>
      <w:r>
        <w:rPr>
          <w:b/>
          <w:sz w:val="18"/>
          <w:szCs w:val="18"/>
        </w:rPr>
        <w:t>Jednotlivé druhy</w:t>
      </w:r>
    </w:p>
    <w:p w:rsidR="00287B1D" w:rsidRDefault="00BB6CB9">
      <w:pPr>
        <w:ind w:left="-426"/>
        <w:jc w:val="both"/>
        <w:rPr>
          <w:sz w:val="18"/>
          <w:szCs w:val="18"/>
        </w:rPr>
      </w:pPr>
      <w:r>
        <w:rPr>
          <w:sz w:val="18"/>
          <w:szCs w:val="18"/>
        </w:rPr>
        <w:t>Enterococcus aquimarinus, Enterococcus asini, Enterococcus avium, Enterococcus caccae, Enterococcus camelliae, Enterococcus canintestini, 7 Enterococcus canis, Enterococcus casseliflavus, Enterococcus cecorum, Enterococcus columbae, Enterococcus devriesei, Enterococcus dispar, Enterococcus durans, Enterococcus faecalis, Enterococcus faecium, Enterococcus gallinarum, Enterococcus gilvus, Enterococcus haemoperoxidus, Enterococcus hermanniensis, Enterococcus hirae, Enterococcus italicus, Enterococcus malodoratus, Enterococcus moraviensis, Enterococcus mundtii, Enterococcus pallens, Enterococcus phoeniculicola, Enterococcus pseudoavium, Enterococcus raffinosus, Enterococcus ratti, Enterococcus saccharolyticus, Enterococcus silesiacus,Enterococcus sulfureus, Enterococcus termitis, Enterococcus villorum.</w:t>
      </w:r>
    </w:p>
    <w:p w:rsidR="00287B1D" w:rsidRDefault="00287B1D">
      <w:pPr>
        <w:spacing w:line="240" w:lineRule="auto"/>
        <w:ind w:left="-426"/>
        <w:rPr>
          <w:rFonts w:cstheme="minorHAnsi"/>
          <w:sz w:val="14"/>
          <w:szCs w:val="14"/>
        </w:rPr>
      </w:pPr>
    </w:p>
    <w:p w:rsidR="00287B1D" w:rsidRDefault="00BB6CB9">
      <w:pPr>
        <w:spacing w:after="0"/>
        <w:jc w:val="center"/>
        <w:rPr>
          <w:color w:val="FF0000"/>
          <w:sz w:val="18"/>
          <w:szCs w:val="18"/>
        </w:rPr>
      </w:pPr>
      <w:r>
        <w:rPr>
          <w:noProof/>
          <w:lang w:eastAsia="cs-CZ"/>
        </w:rPr>
        <w:drawing>
          <wp:inline distT="0" distB="0" distL="0" distR="0">
            <wp:extent cx="1566545" cy="1045210"/>
            <wp:effectExtent l="0" t="0" r="0" b="0"/>
            <wp:docPr id="103" name="Obrázek 99" descr="Zlaty-stafylokok-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Obrázek 99" descr="Zlaty-stafylokok-5"/>
                    <pic:cNvPicPr>
                      <a:picLocks noChangeAspect="1" noChangeArrowheads="1"/>
                    </pic:cNvPicPr>
                  </pic:nvPicPr>
                  <pic:blipFill>
                    <a:blip r:embed="rId261"/>
                    <a:stretch>
                      <a:fillRect/>
                    </a:stretch>
                  </pic:blipFill>
                  <pic:spPr bwMode="auto">
                    <a:xfrm>
                      <a:off x="0" y="0"/>
                      <a:ext cx="1566545" cy="1045210"/>
                    </a:xfrm>
                    <a:prstGeom prst="rect">
                      <a:avLst/>
                    </a:prstGeom>
                  </pic:spPr>
                </pic:pic>
              </a:graphicData>
            </a:graphic>
          </wp:inline>
        </w:drawing>
      </w:r>
      <w:r>
        <w:rPr>
          <w:lang w:eastAsia="cs-CZ"/>
        </w:rPr>
        <w:t xml:space="preserve">        </w:t>
      </w:r>
      <w:r>
        <w:rPr>
          <w:noProof/>
          <w:lang w:eastAsia="cs-CZ"/>
        </w:rPr>
        <w:drawing>
          <wp:inline distT="0" distB="0" distL="0" distR="0">
            <wp:extent cx="1502410" cy="1050925"/>
            <wp:effectExtent l="0" t="0" r="0" b="0"/>
            <wp:docPr id="104" name="Obrázek 26" descr="Co jsou enterokoky - TZB-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brázek 26" descr="Co jsou enterokoky - TZB-info"/>
                    <pic:cNvPicPr>
                      <a:picLocks noChangeAspect="1" noChangeArrowheads="1"/>
                    </pic:cNvPicPr>
                  </pic:nvPicPr>
                  <pic:blipFill>
                    <a:blip r:embed="rId262"/>
                    <a:stretch>
                      <a:fillRect/>
                    </a:stretch>
                  </pic:blipFill>
                  <pic:spPr bwMode="auto">
                    <a:xfrm>
                      <a:off x="0" y="0"/>
                      <a:ext cx="1502410" cy="1050925"/>
                    </a:xfrm>
                    <a:prstGeom prst="rect">
                      <a:avLst/>
                    </a:prstGeom>
                  </pic:spPr>
                </pic:pic>
              </a:graphicData>
            </a:graphic>
          </wp:inline>
        </w:drawing>
      </w:r>
      <w:r>
        <w:rPr>
          <w:lang w:eastAsia="cs-CZ"/>
        </w:rPr>
        <w:t xml:space="preserve">        </w:t>
      </w:r>
      <w:r>
        <w:rPr>
          <w:noProof/>
          <w:lang w:eastAsia="cs-CZ"/>
        </w:rPr>
        <w:drawing>
          <wp:inline distT="0" distB="0" distL="0" distR="0">
            <wp:extent cx="1983105" cy="1041400"/>
            <wp:effectExtent l="0" t="0" r="0" b="0"/>
            <wp:docPr id="105" name="Obrázek 115" descr="Drug-resistant superbugs may have just learned a new tr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brázek 115" descr="Drug-resistant superbugs may have just learned a new trick"/>
                    <pic:cNvPicPr>
                      <a:picLocks noChangeAspect="1" noChangeArrowheads="1"/>
                    </pic:cNvPicPr>
                  </pic:nvPicPr>
                  <pic:blipFill>
                    <a:blip r:embed="rId263"/>
                    <a:stretch>
                      <a:fillRect/>
                    </a:stretch>
                  </pic:blipFill>
                  <pic:spPr bwMode="auto">
                    <a:xfrm>
                      <a:off x="0" y="0"/>
                      <a:ext cx="1983105" cy="1041400"/>
                    </a:xfrm>
                    <a:prstGeom prst="rect">
                      <a:avLst/>
                    </a:prstGeom>
                  </pic:spPr>
                </pic:pic>
              </a:graphicData>
            </a:graphic>
          </wp:inline>
        </w:drawing>
      </w:r>
    </w:p>
    <w:p w:rsidR="00287B1D" w:rsidRDefault="00BB6CB9">
      <w:pPr>
        <w:spacing w:after="0"/>
        <w:rPr>
          <w:rFonts w:ascii="Segoe UI Black" w:hAnsi="Segoe UI Black"/>
          <w:sz w:val="14"/>
          <w:szCs w:val="14"/>
        </w:rPr>
      </w:pPr>
      <w:r>
        <w:rPr>
          <w:rFonts w:ascii="Segoe UI Black" w:hAnsi="Segoe UI Black"/>
          <w:sz w:val="14"/>
          <w:szCs w:val="14"/>
        </w:rPr>
        <w:t xml:space="preserve">           Obr. ch) Staphylococcus MRSA                                  </w:t>
      </w:r>
      <w:r>
        <w:rPr>
          <w:rFonts w:ascii="Segoe UI Black" w:hAnsi="Segoe UI Black" w:cs="Arial"/>
          <w:bCs/>
          <w:color w:val="202122"/>
          <w:sz w:val="14"/>
          <w:szCs w:val="14"/>
        </w:rPr>
        <w:t xml:space="preserve">Obr. i) </w:t>
      </w:r>
      <w:proofErr w:type="gramStart"/>
      <w:r>
        <w:rPr>
          <w:rFonts w:ascii="Segoe UI Black" w:hAnsi="Segoe UI Black" w:cs="Arial"/>
          <w:bCs/>
          <w:color w:val="202122"/>
          <w:sz w:val="14"/>
          <w:szCs w:val="14"/>
        </w:rPr>
        <w:t xml:space="preserve">Enterokoky                                              </w:t>
      </w:r>
      <w:r>
        <w:rPr>
          <w:rFonts w:ascii="Segoe UI Black" w:hAnsi="Segoe UI Black"/>
          <w:sz w:val="14"/>
          <w:szCs w:val="14"/>
        </w:rPr>
        <w:t xml:space="preserve">   Obr.</w:t>
      </w:r>
      <w:proofErr w:type="gramEnd"/>
      <w:r>
        <w:rPr>
          <w:rFonts w:ascii="Segoe UI Black" w:hAnsi="Segoe UI Black"/>
          <w:sz w:val="14"/>
          <w:szCs w:val="14"/>
        </w:rPr>
        <w:t xml:space="preserve"> j) Enterococcus VRE</w:t>
      </w:r>
    </w:p>
    <w:p w:rsidR="00287B1D" w:rsidRDefault="00287B1D">
      <w:pPr>
        <w:spacing w:after="0"/>
        <w:rPr>
          <w:sz w:val="18"/>
          <w:szCs w:val="18"/>
        </w:rPr>
      </w:pPr>
    </w:p>
    <w:p w:rsidR="00287B1D" w:rsidRDefault="00287B1D">
      <w:pPr>
        <w:spacing w:after="0"/>
        <w:rPr>
          <w:sz w:val="18"/>
          <w:szCs w:val="18"/>
        </w:rPr>
      </w:pPr>
    </w:p>
    <w:p w:rsidR="00287B1D" w:rsidRDefault="00BB6CB9">
      <w:pPr>
        <w:spacing w:after="0"/>
        <w:jc w:val="center"/>
        <w:rPr>
          <w:color w:val="FF0000"/>
          <w:sz w:val="18"/>
          <w:szCs w:val="18"/>
        </w:rPr>
      </w:pPr>
      <w:r>
        <w:rPr>
          <w:sz w:val="18"/>
          <w:szCs w:val="18"/>
        </w:rPr>
        <w:t xml:space="preserve">Grampozitivní bakterie </w:t>
      </w:r>
      <w:r>
        <w:rPr>
          <w:color w:val="FF0000"/>
          <w:sz w:val="18"/>
          <w:szCs w:val="18"/>
        </w:rPr>
        <w:t>(Staphylococcus MRSA), Enterococcus (VRE)</w:t>
      </w:r>
    </w:p>
    <w:p w:rsidR="00287B1D" w:rsidRDefault="00287B1D">
      <w:pPr>
        <w:pStyle w:val="Nadpis2"/>
        <w:shd w:val="clear" w:color="auto" w:fill="FFFFFF"/>
        <w:spacing w:beforeAutospacing="0" w:after="0" w:afterAutospacing="0" w:line="276" w:lineRule="auto"/>
        <w:jc w:val="both"/>
        <w:rPr>
          <w:rFonts w:ascii="Verdana" w:hAnsi="Verdana"/>
          <w:i/>
          <w:sz w:val="18"/>
          <w:szCs w:val="18"/>
        </w:rPr>
      </w:pPr>
    </w:p>
    <w:p w:rsidR="00287B1D" w:rsidRDefault="00BB6CB9">
      <w:pPr>
        <w:pStyle w:val="Nadpis2"/>
        <w:shd w:val="clear" w:color="auto" w:fill="FFFFFF"/>
        <w:spacing w:beforeAutospacing="0" w:after="270" w:afterAutospacing="0" w:line="276" w:lineRule="auto"/>
        <w:ind w:left="-426"/>
        <w:jc w:val="both"/>
        <w:rPr>
          <w:rFonts w:ascii="Verdana" w:hAnsi="Verdana" w:cs="Tahoma"/>
          <w:b w:val="0"/>
          <w:color w:val="333333"/>
          <w:sz w:val="18"/>
          <w:szCs w:val="18"/>
        </w:rPr>
      </w:pPr>
      <w:r>
        <w:rPr>
          <w:rFonts w:ascii="Verdana" w:hAnsi="Verdana"/>
          <w:i/>
          <w:sz w:val="18"/>
          <w:szCs w:val="18"/>
        </w:rPr>
        <w:t>Staphylococcus MRSA</w:t>
      </w:r>
      <w:r>
        <w:rPr>
          <w:rFonts w:ascii="Verdana" w:hAnsi="Verdana" w:cs="Tahoma"/>
          <w:b w:val="0"/>
          <w:bCs w:val="0"/>
          <w:color w:val="333333"/>
          <w:spacing w:val="-2"/>
          <w:sz w:val="18"/>
          <w:szCs w:val="18"/>
        </w:rPr>
        <w:t>, k</w:t>
      </w:r>
      <w:r>
        <w:rPr>
          <w:rFonts w:ascii="Verdana" w:hAnsi="Verdana" w:cs="Tahoma"/>
          <w:b w:val="0"/>
          <w:color w:val="333333"/>
          <w:sz w:val="18"/>
          <w:szCs w:val="18"/>
        </w:rPr>
        <w:t>romě toho, že se můžete nakazit běžným zlatým stafylokokem, existuje také forma s názvem MRSA neboli meticilin-rezistentní zlatý stafylokok. Tato bakterie je zodpovědná za obtížně léčitelné infekce, jelikož je rezistentní vůči meticilinu a ostatním antibiotikům ze skupiny beta-laktamů. MRSA je problematický především v nemocnicích. Nejvíce ohrožení jsou lidé, kteří mají oslabený imunitní systém nebo mají otevřené rány na těle. Bakterie se mohou přenášet z jednoho pacienta na druhého nebo také prostřednictvím zaměstnanců, kteří nedodržují přísné sanitární procedury. Pokud člověka nakaženého MRSA přijde někdo navštívit, musí dodržovat zásady izolace.</w:t>
      </w:r>
    </w:p>
    <w:p w:rsidR="00287B1D" w:rsidRDefault="00BB6CB9">
      <w:pPr>
        <w:pStyle w:val="Nadpis2"/>
        <w:shd w:val="clear" w:color="auto" w:fill="FFFFFF"/>
        <w:spacing w:beforeAutospacing="0" w:after="270" w:afterAutospacing="0" w:line="276" w:lineRule="auto"/>
        <w:ind w:left="-426"/>
        <w:jc w:val="both"/>
        <w:rPr>
          <w:rFonts w:ascii="Verdana" w:hAnsi="Verdana"/>
          <w:b w:val="0"/>
          <w:sz w:val="18"/>
          <w:szCs w:val="18"/>
        </w:rPr>
      </w:pPr>
      <w:r>
        <w:rPr>
          <w:rFonts w:ascii="Verdana" w:hAnsi="Verdana"/>
          <w:i/>
          <w:sz w:val="18"/>
          <w:szCs w:val="18"/>
        </w:rPr>
        <w:t>Enterococcus VRE,</w:t>
      </w:r>
      <w:r>
        <w:rPr>
          <w:sz w:val="18"/>
          <w:szCs w:val="18"/>
        </w:rPr>
        <w:t xml:space="preserve"> </w:t>
      </w:r>
      <w:r>
        <w:rPr>
          <w:rFonts w:ascii="Verdana" w:hAnsi="Verdana" w:cs="Arial"/>
          <w:b w:val="0"/>
          <w:sz w:val="18"/>
          <w:szCs w:val="18"/>
          <w:shd w:val="clear" w:color="auto" w:fill="FFFFFF"/>
        </w:rPr>
        <w:t>jsou bakteriální kmeny rodu Enterococcus, rezistentní na antibiotikum vankomycin.</w:t>
      </w:r>
      <w:r>
        <w:t xml:space="preserve"> </w:t>
      </w:r>
      <w:r>
        <w:rPr>
          <w:rFonts w:ascii="Verdana" w:hAnsi="Verdana"/>
          <w:b w:val="0"/>
          <w:sz w:val="18"/>
          <w:szCs w:val="18"/>
        </w:rPr>
        <w:t xml:space="preserve">Enterokoky jsou typickými podmíněnými patogeny, jejichž kultivační nálezy v různých lokalizacích jsou převážně výrazem osídlení, spíše než aktivní infekce. </w:t>
      </w:r>
      <w:r>
        <w:rPr>
          <w:rFonts w:ascii="Verdana" w:hAnsi="Verdana"/>
          <w:b w:val="0"/>
          <w:color w:val="FF0000"/>
          <w:sz w:val="18"/>
          <w:szCs w:val="18"/>
        </w:rPr>
        <w:t xml:space="preserve">Přirozeně se vyskytují </w:t>
      </w:r>
      <w:r>
        <w:rPr>
          <w:rFonts w:ascii="Verdana" w:hAnsi="Verdana"/>
          <w:b w:val="0"/>
          <w:sz w:val="18"/>
          <w:szCs w:val="18"/>
        </w:rPr>
        <w:t xml:space="preserve">v zažívacím ústrojí člověka i zvířat, také ale v prostředí, </w:t>
      </w:r>
      <w:r>
        <w:rPr>
          <w:rFonts w:ascii="Verdana" w:hAnsi="Verdana"/>
          <w:b w:val="0"/>
          <w:color w:val="FF0000"/>
          <w:sz w:val="18"/>
          <w:szCs w:val="18"/>
        </w:rPr>
        <w:t xml:space="preserve">ve vodě </w:t>
      </w:r>
      <w:r>
        <w:rPr>
          <w:rFonts w:ascii="Verdana" w:hAnsi="Verdana"/>
          <w:b w:val="0"/>
          <w:sz w:val="18"/>
          <w:szCs w:val="18"/>
        </w:rPr>
        <w:t>a v půdě. Dominantně vyvolávají infekce močového ústrojí, převážně nozokomiálního původu, podílí se i na etiologii infekcí v místě chirurgického výkonu, vzácněji infekcí nitrobřišních a infekcí krevního řečiště včetně katétrových. Jsou důležitými vyvolavateli endokarditid nebo jiných infekcí kardiovaskulárního ústrojí, případně infekcí u imunokompromitovaných pacientů nebo infekcí spojených s umělými implantáty.</w:t>
      </w:r>
    </w:p>
    <w:p w:rsidR="00287B1D" w:rsidRDefault="00BB6CB9">
      <w:pPr>
        <w:pStyle w:val="Nadpis2"/>
        <w:shd w:val="clear" w:color="auto" w:fill="FFFFFF"/>
        <w:spacing w:beforeAutospacing="0" w:after="270" w:afterAutospacing="0" w:line="276" w:lineRule="auto"/>
        <w:ind w:left="-426"/>
        <w:jc w:val="both"/>
        <w:rPr>
          <w:rFonts w:ascii="Verdana" w:hAnsi="Verdana" w:cstheme="minorHAnsi"/>
          <w:b w:val="0"/>
          <w:sz w:val="14"/>
          <w:szCs w:val="14"/>
        </w:rPr>
      </w:pPr>
      <w:proofErr w:type="gramStart"/>
      <w:r>
        <w:rPr>
          <w:rFonts w:ascii="Verdana" w:hAnsi="Verdana"/>
          <w:b w:val="0"/>
          <w:sz w:val="14"/>
          <w:szCs w:val="14"/>
        </w:rPr>
        <w:t>Obr.27</w:t>
      </w:r>
      <w:proofErr w:type="gramEnd"/>
      <w:r>
        <w:rPr>
          <w:rFonts w:ascii="Verdana" w:hAnsi="Verdana"/>
          <w:b w:val="0"/>
          <w:sz w:val="14"/>
          <w:szCs w:val="14"/>
        </w:rPr>
        <w:t xml:space="preserve"> ch, i, j) Sledované Staphylococcus MRSA,  Enterokkoky, Enterococcus VRE,</w:t>
      </w:r>
      <w:r>
        <w:rPr>
          <w:rFonts w:ascii="Verdana" w:hAnsi="Verdana" w:cstheme="minorHAnsi"/>
          <w:b w:val="0"/>
          <w:sz w:val="14"/>
          <w:szCs w:val="14"/>
        </w:rPr>
        <w:t xml:space="preserve"> vyskytující se v kontaminované vodě, AQ3 Mini   zachytí, deaktivuje</w:t>
      </w:r>
    </w:p>
    <w:p w:rsidR="00287B1D" w:rsidRDefault="00287B1D">
      <w:pPr>
        <w:pStyle w:val="Nadpis2"/>
        <w:shd w:val="clear" w:color="auto" w:fill="FFFFFF"/>
        <w:spacing w:beforeAutospacing="0" w:after="270" w:afterAutospacing="0" w:line="276" w:lineRule="auto"/>
        <w:ind w:left="-426"/>
        <w:jc w:val="both"/>
        <w:rPr>
          <w:rFonts w:ascii="Verdana" w:hAnsi="Verdana" w:cstheme="minorHAnsi"/>
          <w:b w:val="0"/>
          <w:sz w:val="14"/>
          <w:szCs w:val="14"/>
        </w:rPr>
      </w:pPr>
    </w:p>
    <w:p w:rsidR="00287B1D" w:rsidRDefault="00BB6CB9">
      <w:pPr>
        <w:pStyle w:val="Normlnweb"/>
        <w:shd w:val="clear" w:color="auto" w:fill="FFFFFF"/>
        <w:spacing w:before="120" w:beforeAutospacing="0" w:after="120" w:afterAutospacing="0"/>
        <w:ind w:left="-426"/>
        <w:rPr>
          <w:rFonts w:ascii="Arial" w:hAnsi="Arial" w:cs="Arial"/>
          <w:b/>
          <w:bCs/>
          <w:color w:val="202122"/>
          <w:sz w:val="21"/>
          <w:szCs w:val="21"/>
        </w:rPr>
      </w:pPr>
      <w:r>
        <w:rPr>
          <w:rFonts w:ascii="Arial" w:hAnsi="Arial" w:cs="Arial"/>
          <w:b/>
          <w:bCs/>
          <w:color w:val="202122"/>
          <w:sz w:val="21"/>
          <w:szCs w:val="21"/>
        </w:rPr>
        <w:t xml:space="preserve">        </w:t>
      </w:r>
      <w:r>
        <w:rPr>
          <w:noProof/>
        </w:rPr>
        <w:drawing>
          <wp:inline distT="0" distB="0" distL="0" distR="0">
            <wp:extent cx="1781175" cy="1537335"/>
            <wp:effectExtent l="0" t="0" r="0" b="0"/>
            <wp:docPr id="106" name="Obrázek 64" descr="Science Source - Micrococcus luteus, 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Obrázek 64" descr="Science Source - Micrococcus luteus, SEM"/>
                    <pic:cNvPicPr>
                      <a:picLocks noChangeAspect="1" noChangeArrowheads="1"/>
                    </pic:cNvPicPr>
                  </pic:nvPicPr>
                  <pic:blipFill>
                    <a:blip r:embed="rId264"/>
                    <a:stretch>
                      <a:fillRect/>
                    </a:stretch>
                  </pic:blipFill>
                  <pic:spPr bwMode="auto">
                    <a:xfrm>
                      <a:off x="0" y="0"/>
                      <a:ext cx="1781175" cy="1537335"/>
                    </a:xfrm>
                    <a:prstGeom prst="rect">
                      <a:avLst/>
                    </a:prstGeom>
                  </pic:spPr>
                </pic:pic>
              </a:graphicData>
            </a:graphic>
          </wp:inline>
        </w:drawing>
      </w:r>
      <w:r>
        <w:rPr>
          <w:rFonts w:ascii="Arial" w:hAnsi="Arial" w:cs="Arial"/>
          <w:b/>
          <w:bCs/>
          <w:color w:val="202122"/>
          <w:sz w:val="21"/>
          <w:szCs w:val="21"/>
        </w:rPr>
        <w:t xml:space="preserve">                    </w:t>
      </w:r>
      <w:r>
        <w:rPr>
          <w:noProof/>
        </w:rPr>
        <w:drawing>
          <wp:inline distT="0" distB="0" distL="0" distR="0">
            <wp:extent cx="3163570" cy="1534160"/>
            <wp:effectExtent l="0" t="0" r="0" b="0"/>
            <wp:docPr id="107" name="Obrázek 80" descr="Neisseria gonorrhoeae - Pathogen profile and information on hygi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Obrázek 80" descr="Neisseria gonorrhoeae - Pathogen profile and information on hygiene"/>
                    <pic:cNvPicPr>
                      <a:picLocks noChangeAspect="1" noChangeArrowheads="1"/>
                    </pic:cNvPicPr>
                  </pic:nvPicPr>
                  <pic:blipFill>
                    <a:blip r:embed="rId265"/>
                    <a:stretch>
                      <a:fillRect/>
                    </a:stretch>
                  </pic:blipFill>
                  <pic:spPr bwMode="auto">
                    <a:xfrm>
                      <a:off x="0" y="0"/>
                      <a:ext cx="3163570" cy="1534160"/>
                    </a:xfrm>
                    <a:prstGeom prst="rect">
                      <a:avLst/>
                    </a:prstGeom>
                  </pic:spPr>
                </pic:pic>
              </a:graphicData>
            </a:graphic>
          </wp:inline>
        </w:drawing>
      </w:r>
    </w:p>
    <w:p w:rsidR="00287B1D" w:rsidRDefault="00BB6CB9">
      <w:pPr>
        <w:pStyle w:val="Normlnweb"/>
        <w:shd w:val="clear" w:color="auto" w:fill="FFFFFF"/>
        <w:spacing w:before="120" w:beforeAutospacing="0" w:after="120" w:afterAutospacing="0"/>
        <w:rPr>
          <w:rStyle w:val="Internetovodkaz"/>
          <w:rFonts w:ascii="Segoe UI Black" w:hAnsi="Segoe UI Black" w:cs="Arial"/>
          <w:color w:val="3C4043"/>
          <w:spacing w:val="3"/>
          <w:sz w:val="14"/>
          <w:szCs w:val="14"/>
          <w:highlight w:val="white"/>
          <w:u w:val="none"/>
        </w:rPr>
      </w:pPr>
      <w:r>
        <w:rPr>
          <w:rFonts w:ascii="Segoe UI Black" w:hAnsi="Segoe UI Black" w:cs="Arial"/>
          <w:bCs/>
          <w:color w:val="202122"/>
          <w:sz w:val="14"/>
          <w:szCs w:val="14"/>
        </w:rPr>
        <w:t xml:space="preserve">        Obr. k) Micrococcus </w:t>
      </w:r>
      <w:proofErr w:type="gramStart"/>
      <w:r>
        <w:rPr>
          <w:rFonts w:ascii="Segoe UI Black" w:hAnsi="Segoe UI Black" w:cs="Arial"/>
          <w:bCs/>
          <w:color w:val="202122"/>
          <w:sz w:val="14"/>
          <w:szCs w:val="14"/>
        </w:rPr>
        <w:t>Luteus                                                                                  Obr.</w:t>
      </w:r>
      <w:proofErr w:type="gramEnd"/>
      <w:r>
        <w:rPr>
          <w:rFonts w:ascii="Segoe UI Black" w:hAnsi="Segoe UI Black"/>
          <w:sz w:val="14"/>
          <w:szCs w:val="14"/>
        </w:rPr>
        <w:t xml:space="preserve"> l) </w:t>
      </w:r>
      <w:hyperlink r:id="rId266" w:tgtFrame="Neisseria gonorrhoeae - Pathogen profile and information on hygiene">
        <w:r>
          <w:rPr>
            <w:rStyle w:val="Internetovodkaz"/>
            <w:rFonts w:ascii="Segoe UI Black" w:hAnsi="Segoe UI Black" w:cs="Arial"/>
            <w:color w:val="3C4043"/>
            <w:spacing w:val="3"/>
            <w:sz w:val="14"/>
            <w:szCs w:val="14"/>
            <w:highlight w:val="white"/>
            <w:u w:val="none"/>
          </w:rPr>
          <w:t>Neisseria Gonorrhoeae</w:t>
        </w:r>
      </w:hyperlink>
    </w:p>
    <w:p w:rsidR="00287B1D" w:rsidRDefault="00287B1D">
      <w:pPr>
        <w:pStyle w:val="Normlnweb"/>
        <w:shd w:val="clear" w:color="auto" w:fill="FFFFFF"/>
        <w:spacing w:before="120" w:beforeAutospacing="0" w:after="120" w:afterAutospacing="0"/>
        <w:rPr>
          <w:rStyle w:val="Internetovodkaz"/>
          <w:rFonts w:ascii="Segoe UI Black" w:hAnsi="Segoe UI Black" w:cs="Arial"/>
          <w:color w:val="3C4043"/>
          <w:spacing w:val="3"/>
          <w:sz w:val="14"/>
          <w:szCs w:val="14"/>
          <w:highlight w:val="white"/>
          <w:u w:val="none"/>
        </w:rPr>
      </w:pPr>
    </w:p>
    <w:p w:rsidR="00287B1D" w:rsidRDefault="00BB6CB9">
      <w:pPr>
        <w:ind w:left="-426"/>
        <w:jc w:val="center"/>
        <w:rPr>
          <w:color w:val="FF0000"/>
          <w:sz w:val="18"/>
          <w:szCs w:val="18"/>
        </w:rPr>
      </w:pPr>
      <w:r>
        <w:rPr>
          <w:sz w:val="18"/>
          <w:szCs w:val="18"/>
        </w:rPr>
        <w:t xml:space="preserve">Koky </w:t>
      </w:r>
      <w:r>
        <w:rPr>
          <w:color w:val="FF0000"/>
          <w:sz w:val="18"/>
          <w:szCs w:val="18"/>
        </w:rPr>
        <w:t>(coccus)</w:t>
      </w:r>
    </w:p>
    <w:p w:rsidR="00287B1D" w:rsidRDefault="00BB6CB9">
      <w:pPr>
        <w:ind w:left="-426"/>
        <w:rPr>
          <w:sz w:val="18"/>
          <w:szCs w:val="18"/>
        </w:rPr>
      </w:pPr>
      <w:r>
        <w:rPr>
          <w:b/>
          <w:i/>
          <w:sz w:val="18"/>
          <w:szCs w:val="18"/>
        </w:rPr>
        <w:t>Koky</w:t>
      </w:r>
      <w:r>
        <w:rPr>
          <w:sz w:val="18"/>
          <w:szCs w:val="18"/>
        </w:rPr>
        <w:t> (z latinského coccus a řeckého kokkos), je označení pro </w:t>
      </w:r>
      <w:hyperlink r:id="rId267" w:tgtFrame="Bakterie">
        <w:r>
          <w:rPr>
            <w:rStyle w:val="Internetovodkaz"/>
            <w:sz w:val="18"/>
            <w:szCs w:val="18"/>
          </w:rPr>
          <w:t>bakterie</w:t>
        </w:r>
      </w:hyperlink>
      <w:r>
        <w:rPr>
          <w:sz w:val="18"/>
          <w:szCs w:val="18"/>
        </w:rPr>
        <w:t> kulovitého tvaru ve </w:t>
      </w:r>
      <w:hyperlink r:id="rId268" w:tgtFrame="Mikroskop">
        <w:r>
          <w:rPr>
            <w:rStyle w:val="Internetovodkaz"/>
            <w:sz w:val="18"/>
            <w:szCs w:val="18"/>
          </w:rPr>
          <w:t>světelném mikroskopu</w:t>
        </w:r>
      </w:hyperlink>
      <w:r>
        <w:rPr>
          <w:sz w:val="18"/>
          <w:szCs w:val="18"/>
        </w:rPr>
        <w:t xml:space="preserve"> viditelné jako kruhy. Průměr bakterií bývá do </w:t>
      </w:r>
      <w:r>
        <w:rPr>
          <w:b/>
          <w:sz w:val="18"/>
          <w:szCs w:val="18"/>
        </w:rPr>
        <w:t>1</w:t>
      </w:r>
      <w:r>
        <w:rPr>
          <w:sz w:val="18"/>
          <w:szCs w:val="18"/>
        </w:rPr>
        <w:t xml:space="preserve"> μm. Podle toho v kolika rovinách se rozmnožují, dělí se na </w:t>
      </w:r>
      <w:r>
        <w:rPr>
          <w:color w:val="FF0000"/>
          <w:sz w:val="18"/>
          <w:szCs w:val="18"/>
        </w:rPr>
        <w:t>mikrokoky</w:t>
      </w:r>
      <w:r>
        <w:rPr>
          <w:sz w:val="18"/>
          <w:szCs w:val="18"/>
        </w:rPr>
        <w:t xml:space="preserve"> (např. Micrococcus), </w:t>
      </w:r>
      <w:r>
        <w:rPr>
          <w:color w:val="FF0000"/>
          <w:sz w:val="18"/>
          <w:szCs w:val="18"/>
        </w:rPr>
        <w:t>stafylokoky</w:t>
      </w:r>
      <w:r>
        <w:rPr>
          <w:sz w:val="18"/>
          <w:szCs w:val="18"/>
        </w:rPr>
        <w:t xml:space="preserve"> (např. Staphylococcus), </w:t>
      </w:r>
      <w:r>
        <w:rPr>
          <w:color w:val="FF0000"/>
          <w:sz w:val="18"/>
          <w:szCs w:val="18"/>
        </w:rPr>
        <w:t>diplokoky</w:t>
      </w:r>
      <w:r>
        <w:rPr>
          <w:sz w:val="18"/>
          <w:szCs w:val="18"/>
        </w:rPr>
        <w:t xml:space="preserve"> (např. Neisseria, Azotobacter), </w:t>
      </w:r>
      <w:r>
        <w:rPr>
          <w:color w:val="FF0000"/>
          <w:sz w:val="18"/>
          <w:szCs w:val="18"/>
        </w:rPr>
        <w:t>streptokoky</w:t>
      </w:r>
      <w:r>
        <w:rPr>
          <w:sz w:val="18"/>
          <w:szCs w:val="18"/>
        </w:rPr>
        <w:t xml:space="preserve">, (např. Streptococcus), </w:t>
      </w:r>
      <w:r>
        <w:rPr>
          <w:color w:val="FF0000"/>
          <w:sz w:val="18"/>
          <w:szCs w:val="18"/>
        </w:rPr>
        <w:t>tetrakoky</w:t>
      </w:r>
      <w:r>
        <w:rPr>
          <w:sz w:val="18"/>
          <w:szCs w:val="18"/>
        </w:rPr>
        <w:t xml:space="preserve"> a </w:t>
      </w:r>
      <w:r>
        <w:rPr>
          <w:color w:val="FF0000"/>
          <w:sz w:val="18"/>
          <w:szCs w:val="18"/>
        </w:rPr>
        <w:t>sarciny</w:t>
      </w:r>
      <w:r>
        <w:rPr>
          <w:sz w:val="18"/>
          <w:szCs w:val="18"/>
        </w:rPr>
        <w:t>.</w:t>
      </w:r>
    </w:p>
    <w:p w:rsidR="00287B1D" w:rsidRDefault="00BB6CB9">
      <w:pPr>
        <w:ind w:left="-426"/>
        <w:jc w:val="both"/>
        <w:rPr>
          <w:sz w:val="18"/>
          <w:szCs w:val="18"/>
        </w:rPr>
      </w:pPr>
      <w:r>
        <w:rPr>
          <w:b/>
          <w:i/>
          <w:sz w:val="18"/>
          <w:szCs w:val="18"/>
        </w:rPr>
        <w:lastRenderedPageBreak/>
        <w:t>M</w:t>
      </w:r>
      <w:r>
        <w:rPr>
          <w:rFonts w:cs="Arial"/>
          <w:b/>
          <w:i/>
          <w:color w:val="202122"/>
          <w:sz w:val="18"/>
          <w:szCs w:val="18"/>
        </w:rPr>
        <w:t>ikrokoky</w:t>
      </w:r>
      <w:r>
        <w:rPr>
          <w:rFonts w:cs="Arial"/>
          <w:color w:val="202122"/>
          <w:sz w:val="18"/>
          <w:szCs w:val="18"/>
        </w:rPr>
        <w:t xml:space="preserve">, se dělí a zůstávají samostatně. </w:t>
      </w:r>
      <w:r>
        <w:rPr>
          <w:rFonts w:cs="Arial"/>
          <w:b/>
          <w:i/>
          <w:color w:val="202122"/>
          <w:sz w:val="18"/>
          <w:szCs w:val="18"/>
        </w:rPr>
        <w:t>Stafylokoky</w:t>
      </w:r>
      <w:r>
        <w:rPr>
          <w:rFonts w:cs="Arial"/>
          <w:color w:val="202122"/>
          <w:sz w:val="18"/>
          <w:szCs w:val="18"/>
        </w:rPr>
        <w:t xml:space="preserve"> tvoří neurčité </w:t>
      </w:r>
      <w:hyperlink r:id="rId269" w:tgtFrame="Kolonie">
        <w:r>
          <w:rPr>
            <w:rStyle w:val="Internetovodkaz"/>
            <w:rFonts w:cs="Arial"/>
            <w:color w:val="0B0080"/>
            <w:sz w:val="18"/>
            <w:szCs w:val="18"/>
          </w:rPr>
          <w:t>kolonie</w:t>
        </w:r>
      </w:hyperlink>
      <w:r>
        <w:rPr>
          <w:rFonts w:cs="Arial"/>
          <w:color w:val="202122"/>
          <w:sz w:val="18"/>
          <w:szCs w:val="18"/>
        </w:rPr>
        <w:t xml:space="preserve">, </w:t>
      </w:r>
      <w:r>
        <w:rPr>
          <w:rFonts w:cs="Arial"/>
          <w:b/>
          <w:i/>
          <w:color w:val="202122"/>
          <w:sz w:val="18"/>
          <w:szCs w:val="18"/>
        </w:rPr>
        <w:t>diplokoky</w:t>
      </w:r>
      <w:r>
        <w:rPr>
          <w:rFonts w:cs="Arial"/>
          <w:color w:val="202122"/>
          <w:sz w:val="18"/>
          <w:szCs w:val="18"/>
        </w:rPr>
        <w:t xml:space="preserve"> tvoří dvojice buněk, </w:t>
      </w:r>
      <w:r>
        <w:rPr>
          <w:rFonts w:cs="Arial"/>
          <w:b/>
          <w:i/>
          <w:color w:val="202122"/>
          <w:sz w:val="18"/>
          <w:szCs w:val="18"/>
        </w:rPr>
        <w:t>streptokoky</w:t>
      </w:r>
      <w:r>
        <w:rPr>
          <w:rFonts w:cs="Arial"/>
          <w:color w:val="202122"/>
          <w:sz w:val="18"/>
          <w:szCs w:val="18"/>
        </w:rPr>
        <w:t xml:space="preserve"> tvoří čtveřice buněk v provázcích, </w:t>
      </w:r>
      <w:r>
        <w:rPr>
          <w:rFonts w:cs="Arial"/>
          <w:b/>
          <w:i/>
          <w:color w:val="202122"/>
          <w:sz w:val="18"/>
          <w:szCs w:val="18"/>
        </w:rPr>
        <w:t>tetrakoky</w:t>
      </w:r>
      <w:r>
        <w:rPr>
          <w:rFonts w:cs="Arial"/>
          <w:color w:val="202122"/>
          <w:sz w:val="18"/>
          <w:szCs w:val="18"/>
        </w:rPr>
        <w:t xml:space="preserve"> tvoří čtveřice buněk ve dvou na sebe kolmých rovinách a </w:t>
      </w:r>
      <w:r>
        <w:rPr>
          <w:rFonts w:cs="Arial"/>
          <w:b/>
          <w:i/>
          <w:color w:val="202122"/>
          <w:sz w:val="18"/>
          <w:szCs w:val="18"/>
        </w:rPr>
        <w:t>sarciny</w:t>
      </w:r>
      <w:r>
        <w:rPr>
          <w:rFonts w:cs="Arial"/>
          <w:color w:val="202122"/>
          <w:sz w:val="18"/>
          <w:szCs w:val="18"/>
        </w:rPr>
        <w:t xml:space="preserve"> tvoří kolonie a dělí se ve třech na sebe kolmých rovinách. Tvar bakterií je jeden z </w:t>
      </w:r>
      <w:hyperlink r:id="rId270" w:tgtFrame="Diagnostický znak (stránka neexistuje)">
        <w:r>
          <w:rPr>
            <w:rStyle w:val="Internetovodkaz"/>
            <w:rFonts w:cs="Arial"/>
            <w:color w:val="A55858"/>
            <w:sz w:val="18"/>
            <w:szCs w:val="18"/>
          </w:rPr>
          <w:t>diagnostických znaků</w:t>
        </w:r>
      </w:hyperlink>
      <w:r>
        <w:rPr>
          <w:rFonts w:cs="Arial"/>
          <w:color w:val="202122"/>
          <w:sz w:val="18"/>
          <w:szCs w:val="18"/>
        </w:rPr>
        <w:t> těchto organizmů.</w:t>
      </w:r>
    </w:p>
    <w:p w:rsidR="00287B1D" w:rsidRDefault="00BB6CB9">
      <w:pPr>
        <w:pStyle w:val="Normlnweb"/>
        <w:shd w:val="clear" w:color="auto" w:fill="FFFFFF"/>
        <w:spacing w:before="120" w:beforeAutospacing="0" w:after="120" w:afterAutospacing="0"/>
        <w:ind w:left="-426"/>
        <w:jc w:val="both"/>
        <w:rPr>
          <w:rFonts w:ascii="Verdana" w:hAnsi="Verdana" w:cs="Arial"/>
          <w:color w:val="202122"/>
          <w:sz w:val="18"/>
          <w:szCs w:val="18"/>
        </w:rPr>
      </w:pPr>
      <w:r>
        <w:rPr>
          <w:rFonts w:ascii="Verdana" w:hAnsi="Verdana" w:cs="Arial"/>
          <w:b/>
          <w:i/>
          <w:color w:val="202122"/>
          <w:sz w:val="18"/>
          <w:szCs w:val="18"/>
        </w:rPr>
        <w:t>Baktérie koky</w:t>
      </w:r>
      <w:r>
        <w:rPr>
          <w:rFonts w:ascii="Verdana" w:hAnsi="Verdana" w:cs="Arial"/>
          <w:color w:val="202122"/>
          <w:sz w:val="18"/>
          <w:szCs w:val="18"/>
        </w:rPr>
        <w:t>, vyvolávají řadu nemocí a tato nemoc bývá součástí pojmenování. Meningokoky vyvolávají </w:t>
      </w:r>
      <w:hyperlink r:id="rId271" w:tgtFrame="Meningitida">
        <w:r>
          <w:rPr>
            <w:rStyle w:val="Internetovodkaz"/>
            <w:rFonts w:ascii="Verdana" w:hAnsi="Verdana" w:cs="Arial"/>
            <w:color w:val="0B0080"/>
            <w:sz w:val="18"/>
            <w:szCs w:val="18"/>
          </w:rPr>
          <w:t>meningitidu</w:t>
        </w:r>
      </w:hyperlink>
      <w:r>
        <w:rPr>
          <w:rFonts w:ascii="Verdana" w:hAnsi="Verdana" w:cs="Arial"/>
          <w:color w:val="202122"/>
          <w:sz w:val="18"/>
          <w:szCs w:val="18"/>
        </w:rPr>
        <w:t> (zánět mozkových blan), </w:t>
      </w:r>
      <w:hyperlink r:id="rId272" w:tgtFrame="Streptococcus pneumoniae">
        <w:r>
          <w:rPr>
            <w:rStyle w:val="Internetovodkaz"/>
            <w:rFonts w:ascii="Verdana" w:hAnsi="Verdana" w:cs="Arial"/>
            <w:color w:val="0B0080"/>
            <w:sz w:val="18"/>
            <w:szCs w:val="18"/>
          </w:rPr>
          <w:t>pneumokoky</w:t>
        </w:r>
      </w:hyperlink>
      <w:r>
        <w:rPr>
          <w:rFonts w:ascii="Verdana" w:hAnsi="Verdana" w:cs="Arial"/>
          <w:color w:val="202122"/>
          <w:sz w:val="18"/>
          <w:szCs w:val="18"/>
        </w:rPr>
        <w:t> pneumotomii (</w:t>
      </w:r>
      <w:hyperlink r:id="rId273" w:tgtFrame="Zápal plic">
        <w:r>
          <w:rPr>
            <w:rStyle w:val="Internetovodkaz"/>
            <w:rFonts w:ascii="Verdana" w:hAnsi="Verdana" w:cs="Arial"/>
            <w:color w:val="0B0080"/>
            <w:sz w:val="18"/>
            <w:szCs w:val="18"/>
          </w:rPr>
          <w:t>zápal plic</w:t>
        </w:r>
      </w:hyperlink>
      <w:r>
        <w:rPr>
          <w:rFonts w:ascii="Verdana" w:hAnsi="Verdana" w:cs="Arial"/>
          <w:color w:val="202122"/>
          <w:sz w:val="18"/>
          <w:szCs w:val="18"/>
        </w:rPr>
        <w:t>), gonokoky gonoreu (</w:t>
      </w:r>
      <w:hyperlink r:id="rId274" w:tgtFrame="Kapavka">
        <w:r>
          <w:rPr>
            <w:rStyle w:val="Internetovodkaz"/>
            <w:rFonts w:ascii="Verdana" w:hAnsi="Verdana" w:cs="Arial"/>
            <w:color w:val="0B0080"/>
            <w:sz w:val="18"/>
            <w:szCs w:val="18"/>
          </w:rPr>
          <w:t>kapavka</w:t>
        </w:r>
      </w:hyperlink>
      <w:r>
        <w:rPr>
          <w:rFonts w:ascii="Verdana" w:hAnsi="Verdana" w:cs="Arial"/>
          <w:color w:val="202122"/>
          <w:sz w:val="18"/>
          <w:szCs w:val="18"/>
        </w:rPr>
        <w:t>), atd.</w:t>
      </w:r>
    </w:p>
    <w:p w:rsidR="00287B1D" w:rsidRDefault="00287B1D">
      <w:pPr>
        <w:pStyle w:val="Normlnweb"/>
        <w:shd w:val="clear" w:color="auto" w:fill="FFFFFF"/>
        <w:spacing w:before="120" w:beforeAutospacing="0" w:after="120" w:afterAutospacing="0"/>
        <w:ind w:left="-426"/>
        <w:jc w:val="both"/>
        <w:rPr>
          <w:rFonts w:ascii="Verdana" w:hAnsi="Verdana" w:cs="Arial"/>
          <w:color w:val="202122"/>
          <w:sz w:val="18"/>
          <w:szCs w:val="18"/>
        </w:rPr>
      </w:pPr>
    </w:p>
    <w:p w:rsidR="00287B1D" w:rsidRDefault="00BB6CB9">
      <w:pPr>
        <w:spacing w:line="240" w:lineRule="auto"/>
        <w:ind w:left="-426"/>
        <w:rPr>
          <w:rFonts w:cstheme="minorHAnsi"/>
          <w:sz w:val="14"/>
          <w:szCs w:val="14"/>
        </w:rPr>
      </w:pPr>
      <w:proofErr w:type="gramStart"/>
      <w:r>
        <w:rPr>
          <w:rFonts w:cstheme="minorHAnsi"/>
          <w:sz w:val="14"/>
          <w:szCs w:val="14"/>
        </w:rPr>
        <w:t>Obr.28</w:t>
      </w:r>
      <w:proofErr w:type="gramEnd"/>
      <w:r>
        <w:rPr>
          <w:rFonts w:cstheme="minorHAnsi"/>
          <w:sz w:val="14"/>
          <w:szCs w:val="14"/>
        </w:rPr>
        <w:t xml:space="preserve"> k, l) Sledované Baktérie Koky,  vyskytující se v kontaminované vodě, AQ3 Mini   zachytí, deaktivuje</w:t>
      </w:r>
    </w:p>
    <w:p w:rsidR="00287B1D" w:rsidRDefault="00BB6CB9">
      <w:pPr>
        <w:spacing w:after="0"/>
        <w:ind w:left="-426"/>
        <w:jc w:val="center"/>
        <w:rPr>
          <w:rFonts w:asciiTheme="minorHAnsi" w:hAnsiTheme="minorHAnsi" w:cstheme="minorHAnsi"/>
          <w:sz w:val="18"/>
          <w:szCs w:val="18"/>
        </w:rPr>
      </w:pPr>
      <w:r>
        <w:rPr>
          <w:noProof/>
          <w:lang w:eastAsia="cs-CZ"/>
        </w:rPr>
        <w:drawing>
          <wp:inline distT="0" distB="0" distL="0" distR="0">
            <wp:extent cx="1720215" cy="1691005"/>
            <wp:effectExtent l="0" t="0" r="0" b="0"/>
            <wp:docPr id="108" name="Obrázek 39" descr="Toxoplasma gondii Host Interactions: A Story of Immune Attack and Parasite  Counterattack | Frontiers Research To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Obrázek 39" descr="Toxoplasma gondii Host Interactions: A Story of Immune Attack and Parasite  Counterattack | Frontiers Research Topic"/>
                    <pic:cNvPicPr>
                      <a:picLocks noChangeAspect="1" noChangeArrowheads="1"/>
                    </pic:cNvPicPr>
                  </pic:nvPicPr>
                  <pic:blipFill>
                    <a:blip r:embed="rId275"/>
                    <a:stretch>
                      <a:fillRect/>
                    </a:stretch>
                  </pic:blipFill>
                  <pic:spPr bwMode="auto">
                    <a:xfrm>
                      <a:off x="0" y="0"/>
                      <a:ext cx="1720215" cy="1691005"/>
                    </a:xfrm>
                    <a:prstGeom prst="rect">
                      <a:avLst/>
                    </a:prstGeom>
                  </pic:spPr>
                </pic:pic>
              </a:graphicData>
            </a:graphic>
          </wp:inline>
        </w:drawing>
      </w:r>
      <w:r>
        <w:rPr>
          <w:lang w:eastAsia="cs-CZ"/>
        </w:rPr>
        <w:t xml:space="preserve">         </w:t>
      </w:r>
      <w:r>
        <w:rPr>
          <w:noProof/>
          <w:lang w:eastAsia="cs-CZ"/>
        </w:rPr>
        <w:drawing>
          <wp:inline distT="0" distB="0" distL="0" distR="0">
            <wp:extent cx="1786255" cy="1711325"/>
            <wp:effectExtent l="0" t="0" r="0" b="0"/>
            <wp:docPr id="109" name="Obrázek 60" descr="Modulation of innate immunity by Toxoplasma gondii virulence effectors |  Nature Reviews Microbi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Obrázek 60" descr="Modulation of innate immunity by Toxoplasma gondii virulence effectors |  Nature Reviews Microbiology"/>
                    <pic:cNvPicPr>
                      <a:picLocks noChangeAspect="1" noChangeArrowheads="1"/>
                    </pic:cNvPicPr>
                  </pic:nvPicPr>
                  <pic:blipFill>
                    <a:blip r:embed="rId276"/>
                    <a:stretch>
                      <a:fillRect/>
                    </a:stretch>
                  </pic:blipFill>
                  <pic:spPr bwMode="auto">
                    <a:xfrm>
                      <a:off x="0" y="0"/>
                      <a:ext cx="1786255" cy="1711325"/>
                    </a:xfrm>
                    <a:prstGeom prst="rect">
                      <a:avLst/>
                    </a:prstGeom>
                  </pic:spPr>
                </pic:pic>
              </a:graphicData>
            </a:graphic>
          </wp:inline>
        </w:drawing>
      </w:r>
      <w:r>
        <w:rPr>
          <w:lang w:eastAsia="cs-CZ"/>
        </w:rPr>
        <w:t xml:space="preserve">        </w:t>
      </w:r>
      <w:r>
        <w:rPr>
          <w:noProof/>
          <w:lang w:eastAsia="cs-CZ"/>
        </w:rPr>
        <w:drawing>
          <wp:inline distT="0" distB="0" distL="0" distR="0">
            <wp:extent cx="1679575" cy="1722120"/>
            <wp:effectExtent l="0" t="0" r="0" b="0"/>
            <wp:docPr id="110" name="Obrázek 68" descr="Toxoplasma Infection in Mice Reduces Generalized Anxiety, not just Feline  F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Obrázek 68" descr="Toxoplasma Infection in Mice Reduces Generalized Anxiety, not just Feline  Fear"/>
                    <pic:cNvPicPr>
                      <a:picLocks noChangeAspect="1" noChangeArrowheads="1"/>
                    </pic:cNvPicPr>
                  </pic:nvPicPr>
                  <pic:blipFill>
                    <a:blip r:embed="rId277"/>
                    <a:stretch>
                      <a:fillRect/>
                    </a:stretch>
                  </pic:blipFill>
                  <pic:spPr bwMode="auto">
                    <a:xfrm>
                      <a:off x="0" y="0"/>
                      <a:ext cx="1679575" cy="1722120"/>
                    </a:xfrm>
                    <a:prstGeom prst="rect">
                      <a:avLst/>
                    </a:prstGeom>
                  </pic:spPr>
                </pic:pic>
              </a:graphicData>
            </a:graphic>
          </wp:inline>
        </w:drawing>
      </w:r>
    </w:p>
    <w:p w:rsidR="00287B1D" w:rsidRDefault="00BB6CB9">
      <w:pPr>
        <w:spacing w:after="0"/>
        <w:ind w:left="-426"/>
        <w:jc w:val="both"/>
        <w:rPr>
          <w:rFonts w:ascii="Segoe UI Black" w:hAnsi="Segoe UI Black" w:cstheme="minorHAnsi"/>
          <w:sz w:val="14"/>
          <w:szCs w:val="14"/>
        </w:rPr>
      </w:pPr>
      <w:r>
        <w:rPr>
          <w:rFonts w:ascii="Segoe UI Black" w:hAnsi="Segoe UI Black" w:cstheme="minorHAnsi"/>
          <w:sz w:val="14"/>
          <w:szCs w:val="14"/>
        </w:rPr>
        <w:t xml:space="preserve"> Obr. m) imunitní útok a protiútok parazita </w:t>
      </w:r>
      <w:proofErr w:type="gramStart"/>
      <w:r>
        <w:rPr>
          <w:rFonts w:ascii="Segoe UI Black" w:hAnsi="Segoe UI Black" w:cstheme="minorHAnsi"/>
          <w:sz w:val="14"/>
          <w:szCs w:val="14"/>
        </w:rPr>
        <w:t>TG      Obr.</w:t>
      </w:r>
      <w:proofErr w:type="gramEnd"/>
      <w:r>
        <w:rPr>
          <w:rFonts w:ascii="Segoe UI Black" w:hAnsi="Segoe UI Black" w:cstheme="minorHAnsi"/>
          <w:sz w:val="14"/>
          <w:szCs w:val="14"/>
        </w:rPr>
        <w:t xml:space="preserve"> n) </w:t>
      </w:r>
      <w:hyperlink r:id="rId278" w:tgtFrame="Životní cyklus Toxoplasma gondii">
        <w:r>
          <w:rPr>
            <w:rStyle w:val="Internetovodkaz"/>
            <w:rFonts w:ascii="Segoe UI Black" w:hAnsi="Segoe UI Black" w:cs="Arial"/>
            <w:color w:val="3C4043"/>
            <w:spacing w:val="3"/>
            <w:sz w:val="14"/>
            <w:szCs w:val="14"/>
            <w:highlight w:val="white"/>
            <w:u w:val="none"/>
          </w:rPr>
          <w:t>Životní cyklus Toxoplasma gondii</w:t>
        </w:r>
      </w:hyperlink>
      <w:r>
        <w:rPr>
          <w:rFonts w:ascii="Segoe UI Black" w:hAnsi="Segoe UI Black" w:cstheme="minorHAnsi"/>
          <w:sz w:val="14"/>
          <w:szCs w:val="14"/>
        </w:rPr>
        <w:t xml:space="preserve">            Obr. ň) obrázek ukazuje TG v tkáňové cystě </w:t>
      </w:r>
    </w:p>
    <w:p w:rsidR="00287B1D" w:rsidRDefault="00287B1D">
      <w:pPr>
        <w:spacing w:after="0"/>
        <w:ind w:left="-426"/>
        <w:jc w:val="both"/>
        <w:rPr>
          <w:rFonts w:ascii="Segoe UI Black" w:hAnsi="Segoe UI Black" w:cstheme="minorHAnsi"/>
          <w:sz w:val="14"/>
          <w:szCs w:val="14"/>
        </w:rPr>
      </w:pPr>
    </w:p>
    <w:p w:rsidR="00287B1D" w:rsidRDefault="00BB6CB9">
      <w:pPr>
        <w:spacing w:after="0"/>
        <w:jc w:val="center"/>
        <w:rPr>
          <w:color w:val="FF0000"/>
          <w:sz w:val="18"/>
          <w:szCs w:val="18"/>
        </w:rPr>
      </w:pPr>
      <w:r>
        <w:rPr>
          <w:sz w:val="18"/>
          <w:szCs w:val="18"/>
        </w:rPr>
        <w:t>Prvoci</w:t>
      </w:r>
      <w:r>
        <w:rPr>
          <w:color w:val="FF0000"/>
          <w:sz w:val="18"/>
          <w:szCs w:val="18"/>
        </w:rPr>
        <w:t xml:space="preserve"> Toxopasma Gondii</w:t>
      </w:r>
    </w:p>
    <w:p w:rsidR="00287B1D" w:rsidRDefault="00287B1D">
      <w:pPr>
        <w:spacing w:after="0"/>
        <w:jc w:val="both"/>
        <w:rPr>
          <w:rFonts w:asciiTheme="minorHAnsi" w:hAnsiTheme="minorHAnsi" w:cstheme="minorHAnsi"/>
          <w:sz w:val="18"/>
          <w:szCs w:val="18"/>
        </w:rPr>
      </w:pPr>
    </w:p>
    <w:p w:rsidR="00287B1D" w:rsidRDefault="00BB6CB9">
      <w:pPr>
        <w:spacing w:after="0"/>
        <w:ind w:left="-426" w:right="283"/>
        <w:jc w:val="both"/>
        <w:rPr>
          <w:rFonts w:ascii="Arial" w:hAnsi="Arial" w:cs="Arial"/>
          <w:color w:val="000000"/>
          <w:sz w:val="27"/>
          <w:szCs w:val="27"/>
          <w:highlight w:val="white"/>
        </w:rPr>
      </w:pPr>
      <w:r>
        <w:rPr>
          <w:rFonts w:cstheme="minorHAnsi"/>
          <w:b/>
          <w:i/>
          <w:sz w:val="18"/>
          <w:szCs w:val="18"/>
        </w:rPr>
        <w:t>Toxoplasma gondii,</w:t>
      </w:r>
      <w:r>
        <w:rPr>
          <w:rFonts w:cstheme="minorHAnsi"/>
          <w:sz w:val="18"/>
          <w:szCs w:val="18"/>
        </w:rPr>
        <w:t xml:space="preserve">  </w:t>
      </w:r>
      <w:proofErr w:type="gramStart"/>
      <w:r>
        <w:rPr>
          <w:rFonts w:cstheme="minorHAnsi"/>
          <w:sz w:val="18"/>
          <w:szCs w:val="18"/>
        </w:rPr>
        <w:t xml:space="preserve">je </w:t>
      </w:r>
      <w:r>
        <w:rPr>
          <w:rFonts w:cstheme="minorHAnsi"/>
          <w:sz w:val="18"/>
          <w:szCs w:val="18"/>
          <w:shd w:val="clear" w:color="auto" w:fill="FFFFFF"/>
        </w:rPr>
        <w:t xml:space="preserve"> vnitrobuněčný</w:t>
      </w:r>
      <w:proofErr w:type="gramEnd"/>
      <w:r>
        <w:rPr>
          <w:rFonts w:cstheme="minorHAnsi"/>
          <w:sz w:val="18"/>
          <w:szCs w:val="18"/>
          <w:shd w:val="clear" w:color="auto" w:fill="FFFFFF"/>
        </w:rPr>
        <w:t xml:space="preserve"> mikroskopický parazitický prvok, vícehostitelská kokcidie, která parazituje v buňkách člověka i zvířat. Jedná </w:t>
      </w:r>
      <w:proofErr w:type="gramStart"/>
      <w:r>
        <w:rPr>
          <w:rFonts w:cstheme="minorHAnsi"/>
          <w:sz w:val="18"/>
          <w:szCs w:val="18"/>
          <w:shd w:val="clear" w:color="auto" w:fill="FFFFFF"/>
        </w:rPr>
        <w:t xml:space="preserve">se  o </w:t>
      </w:r>
      <w:r>
        <w:rPr>
          <w:rFonts w:cstheme="minorHAnsi"/>
          <w:sz w:val="18"/>
          <w:szCs w:val="18"/>
        </w:rPr>
        <w:t>běžně</w:t>
      </w:r>
      <w:proofErr w:type="gramEnd"/>
      <w:r>
        <w:rPr>
          <w:rFonts w:cstheme="minorHAnsi"/>
          <w:sz w:val="18"/>
          <w:szCs w:val="18"/>
        </w:rPr>
        <w:t xml:space="preserve"> se vyskytujícího prvoka a je původcem onemocnění zvaného toxoplazmóza. U člověka probíhá ve většině případů podobně jako běžné, chřipce podobné virové onemocnění, za něž bývá často chybně diagnostikována. Po odeznění příznaků akutní infekce přežívá parazit v člověku ve formě tkáňových cyst až do konce života, má mnohem vyšší </w:t>
      </w:r>
      <w:proofErr w:type="gramStart"/>
      <w:r>
        <w:rPr>
          <w:rFonts w:cstheme="minorHAnsi"/>
          <w:sz w:val="18"/>
          <w:szCs w:val="18"/>
        </w:rPr>
        <w:t>riziko  rozvoje</w:t>
      </w:r>
      <w:proofErr w:type="gramEnd"/>
      <w:r>
        <w:rPr>
          <w:rFonts w:cstheme="minorHAnsi"/>
          <w:sz w:val="18"/>
          <w:szCs w:val="18"/>
        </w:rPr>
        <w:t xml:space="preserve"> vysoce smrtelných gliomů a může být  příčinou rozvoje rakoviny. Vážné následky může mít toxoplazmóza u osob s poruchami imunity (u pacientů s AIDS, nebo při podávání imunosupresiv apod). V případě infekce matky v těhotenství může dojít k závažným poškozením plodu. Hlavními zdroji nákazy je především - </w:t>
      </w:r>
      <w:r>
        <w:rPr>
          <w:rFonts w:cstheme="minorHAnsi"/>
          <w:b/>
          <w:color w:val="FF0000"/>
          <w:sz w:val="18"/>
          <w:szCs w:val="18"/>
        </w:rPr>
        <w:t xml:space="preserve">požití kontaminované </w:t>
      </w:r>
      <w:proofErr w:type="gramStart"/>
      <w:r>
        <w:rPr>
          <w:rFonts w:cstheme="minorHAnsi"/>
          <w:b/>
          <w:color w:val="FF0000"/>
          <w:sz w:val="18"/>
          <w:szCs w:val="18"/>
        </w:rPr>
        <w:t>vody</w:t>
      </w:r>
      <w:r>
        <w:rPr>
          <w:rFonts w:cstheme="minorHAnsi"/>
          <w:sz w:val="18"/>
          <w:szCs w:val="18"/>
        </w:rPr>
        <w:t xml:space="preserve">,  </w:t>
      </w:r>
      <w:r>
        <w:rPr>
          <w:rFonts w:cs="Arial"/>
          <w:color w:val="3333CC"/>
          <w:sz w:val="18"/>
          <w:szCs w:val="18"/>
          <w:shd w:val="clear" w:color="auto" w:fill="FFFFFF"/>
        </w:rPr>
        <w:t>konzumace</w:t>
      </w:r>
      <w:proofErr w:type="gramEnd"/>
      <w:r>
        <w:rPr>
          <w:rFonts w:cs="Arial"/>
          <w:color w:val="3333CC"/>
          <w:sz w:val="18"/>
          <w:szCs w:val="18"/>
          <w:shd w:val="clear" w:color="auto" w:fill="FFFFFF"/>
        </w:rPr>
        <w:t xml:space="preserve"> neumyté zeleniny,</w:t>
      </w:r>
      <w:r>
        <w:rPr>
          <w:rFonts w:cstheme="minorHAnsi"/>
          <w:color w:val="3333CC"/>
          <w:sz w:val="18"/>
          <w:szCs w:val="18"/>
        </w:rPr>
        <w:t xml:space="preserve"> konzumace syrového masa, nedostatečně tepelně upravené maso nebo potraviny kontaminované trusem nakažených koček</w:t>
      </w:r>
      <w:r>
        <w:rPr>
          <w:rFonts w:cstheme="minorHAnsi"/>
          <w:sz w:val="18"/>
          <w:szCs w:val="18"/>
        </w:rPr>
        <w:t xml:space="preserve">.              </w:t>
      </w:r>
      <w:r>
        <w:rPr>
          <w:rFonts w:cs="Arial"/>
          <w:i/>
          <w:iCs/>
          <w:color w:val="202122"/>
          <w:sz w:val="18"/>
          <w:szCs w:val="18"/>
          <w:shd w:val="clear" w:color="auto" w:fill="FFFFFF"/>
        </w:rPr>
        <w:t>T. gondii</w:t>
      </w:r>
      <w:r>
        <w:rPr>
          <w:rFonts w:cs="Arial"/>
          <w:color w:val="202122"/>
          <w:sz w:val="18"/>
          <w:szCs w:val="18"/>
          <w:shd w:val="clear" w:color="auto" w:fill="FFFFFF"/>
        </w:rPr>
        <w:t> může manipulovat s lidským </w:t>
      </w:r>
      <w:hyperlink r:id="rId279" w:tgtFrame="Chování">
        <w:r>
          <w:rPr>
            <w:rStyle w:val="Internetovodkaz"/>
            <w:rFonts w:cs="Arial"/>
            <w:color w:val="000000"/>
            <w:sz w:val="18"/>
            <w:szCs w:val="18"/>
            <w:highlight w:val="white"/>
            <w:u w:val="none"/>
          </w:rPr>
          <w:t>chováním</w:t>
        </w:r>
      </w:hyperlink>
      <w:r>
        <w:rPr>
          <w:rFonts w:cs="Arial"/>
          <w:sz w:val="18"/>
          <w:szCs w:val="18"/>
          <w:shd w:val="clear" w:color="auto" w:fill="FFFFFF"/>
        </w:rPr>
        <w:t>.</w:t>
      </w:r>
      <w:r>
        <w:rPr>
          <w:rFonts w:cs="Arial"/>
          <w:color w:val="202122"/>
          <w:sz w:val="18"/>
          <w:szCs w:val="18"/>
          <w:shd w:val="clear" w:color="auto" w:fill="FFFFFF"/>
        </w:rPr>
        <w:t xml:space="preserve"> </w:t>
      </w:r>
      <w:r>
        <w:rPr>
          <w:rFonts w:cs="Arial"/>
          <w:color w:val="000000"/>
          <w:sz w:val="18"/>
          <w:szCs w:val="18"/>
          <w:shd w:val="clear" w:color="auto" w:fill="FFFFFF"/>
        </w:rPr>
        <w:t>Toxoplasma zpomaluje reakce některých lidí na nečekané podněty z prostředí.</w:t>
      </w:r>
      <w:r>
        <w:rPr>
          <w:rFonts w:ascii="Arial" w:hAnsi="Arial" w:cs="Arial"/>
          <w:color w:val="000000"/>
          <w:sz w:val="27"/>
          <w:szCs w:val="27"/>
          <w:shd w:val="clear" w:color="auto" w:fill="FFFFFF"/>
        </w:rPr>
        <w:t xml:space="preserve"> </w:t>
      </w:r>
    </w:p>
    <w:p w:rsidR="00287B1D" w:rsidRDefault="00287B1D">
      <w:pPr>
        <w:spacing w:after="0"/>
        <w:ind w:left="-426" w:right="283"/>
        <w:jc w:val="both"/>
        <w:rPr>
          <w:rFonts w:ascii="Arial" w:hAnsi="Arial" w:cs="Arial"/>
          <w:color w:val="000000"/>
          <w:sz w:val="27"/>
          <w:szCs w:val="27"/>
          <w:highlight w:val="white"/>
        </w:rPr>
      </w:pPr>
    </w:p>
    <w:p w:rsidR="00287B1D" w:rsidRDefault="00287B1D">
      <w:pPr>
        <w:spacing w:after="0"/>
        <w:ind w:left="-426" w:right="283"/>
        <w:jc w:val="both"/>
        <w:rPr>
          <w:rFonts w:cstheme="minorHAnsi"/>
          <w:sz w:val="18"/>
          <w:szCs w:val="18"/>
        </w:rPr>
      </w:pPr>
    </w:p>
    <w:p w:rsidR="00287B1D" w:rsidRDefault="00BB6CB9">
      <w:pPr>
        <w:spacing w:line="240" w:lineRule="auto"/>
        <w:ind w:left="-426"/>
        <w:rPr>
          <w:rFonts w:cstheme="minorHAnsi"/>
          <w:sz w:val="14"/>
          <w:szCs w:val="14"/>
        </w:rPr>
      </w:pPr>
      <w:proofErr w:type="gramStart"/>
      <w:r>
        <w:rPr>
          <w:rFonts w:cstheme="minorHAnsi"/>
          <w:sz w:val="14"/>
          <w:szCs w:val="14"/>
        </w:rPr>
        <w:t>Obr.29</w:t>
      </w:r>
      <w:proofErr w:type="gramEnd"/>
      <w:r>
        <w:rPr>
          <w:rFonts w:cstheme="minorHAnsi"/>
          <w:sz w:val="14"/>
          <w:szCs w:val="14"/>
        </w:rPr>
        <w:t xml:space="preserve"> m, n, ň) Sledovaná Toxoplasma gondii, vyskytující se v kontaminované vodě, AQ3 Mini    zachytí, deaktivuje</w:t>
      </w:r>
    </w:p>
    <w:p w:rsidR="00287B1D" w:rsidRDefault="00BB6CB9">
      <w:pPr>
        <w:spacing w:after="0"/>
        <w:ind w:right="284"/>
        <w:jc w:val="both"/>
        <w:rPr>
          <w:rFonts w:cs="Arial"/>
          <w:color w:val="202122"/>
          <w:sz w:val="18"/>
          <w:szCs w:val="18"/>
          <w:highlight w:val="white"/>
        </w:rPr>
      </w:pPr>
      <w:r>
        <w:rPr>
          <w:noProof/>
          <w:lang w:eastAsia="cs-CZ"/>
        </w:rPr>
        <w:lastRenderedPageBreak/>
        <w:drawing>
          <wp:anchor distT="0" distB="0" distL="114300" distR="114300" simplePos="0" relativeHeight="66" behindDoc="0" locked="0" layoutInCell="1" allowOverlap="1">
            <wp:simplePos x="0" y="0"/>
            <wp:positionH relativeFrom="column">
              <wp:posOffset>-53340</wp:posOffset>
            </wp:positionH>
            <wp:positionV relativeFrom="paragraph">
              <wp:posOffset>478790</wp:posOffset>
            </wp:positionV>
            <wp:extent cx="1685290" cy="1441450"/>
            <wp:effectExtent l="0" t="0" r="0" b="0"/>
            <wp:wrapSquare wrapText="bothSides"/>
            <wp:docPr id="111" name="Obrázek 118" descr="Giardia lamblia protozoan, SEM - Stock Image - Z100/0234 - Science Photo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Obrázek 118" descr="Giardia lamblia protozoan, SEM - Stock Image - Z100/0234 - Science Photo  Library"/>
                    <pic:cNvPicPr>
                      <a:picLocks noChangeAspect="1" noChangeArrowheads="1"/>
                    </pic:cNvPicPr>
                  </pic:nvPicPr>
                  <pic:blipFill>
                    <a:blip r:embed="rId280"/>
                    <a:stretch>
                      <a:fillRect/>
                    </a:stretch>
                  </pic:blipFill>
                  <pic:spPr bwMode="auto">
                    <a:xfrm>
                      <a:off x="0" y="0"/>
                      <a:ext cx="1685290" cy="1441450"/>
                    </a:xfrm>
                    <a:prstGeom prst="rect">
                      <a:avLst/>
                    </a:prstGeom>
                  </pic:spPr>
                </pic:pic>
              </a:graphicData>
            </a:graphic>
          </wp:anchor>
        </w:drawing>
      </w:r>
      <w:r>
        <w:rPr>
          <w:noProof/>
          <w:lang w:eastAsia="cs-CZ"/>
        </w:rPr>
        <w:drawing>
          <wp:anchor distT="0" distB="0" distL="114300" distR="114300" simplePos="0" relativeHeight="67" behindDoc="0" locked="0" layoutInCell="1" allowOverlap="1">
            <wp:simplePos x="0" y="0"/>
            <wp:positionH relativeFrom="column">
              <wp:posOffset>3619500</wp:posOffset>
            </wp:positionH>
            <wp:positionV relativeFrom="paragraph">
              <wp:posOffset>494665</wp:posOffset>
            </wp:positionV>
            <wp:extent cx="2080260" cy="1384935"/>
            <wp:effectExtent l="0" t="0" r="0" b="0"/>
            <wp:wrapTight wrapText="bothSides">
              <wp:wrapPolygon edited="0">
                <wp:start x="-46" y="0"/>
                <wp:lineTo x="-46" y="21344"/>
                <wp:lineTo x="21358" y="21344"/>
                <wp:lineTo x="21358" y="0"/>
                <wp:lineTo x="-46" y="0"/>
              </wp:wrapPolygon>
            </wp:wrapTight>
            <wp:docPr id="112" name="Obrázek 119" descr="Drinking Water Inspectorate is to prosecute United Utilities over the  cryptosporidium outbreak in 2015 | Lancashire Tel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Obrázek 119" descr="Drinking Water Inspectorate is to prosecute United Utilities over the  cryptosporidium outbreak in 2015 | Lancashire Telegraph"/>
                    <pic:cNvPicPr>
                      <a:picLocks noChangeAspect="1" noChangeArrowheads="1"/>
                    </pic:cNvPicPr>
                  </pic:nvPicPr>
                  <pic:blipFill>
                    <a:blip r:embed="rId281"/>
                    <a:stretch>
                      <a:fillRect/>
                    </a:stretch>
                  </pic:blipFill>
                  <pic:spPr bwMode="auto">
                    <a:xfrm>
                      <a:off x="0" y="0"/>
                      <a:ext cx="2080260" cy="1384935"/>
                    </a:xfrm>
                    <a:prstGeom prst="rect">
                      <a:avLst/>
                    </a:prstGeom>
                  </pic:spPr>
                </pic:pic>
              </a:graphicData>
            </a:graphic>
          </wp:anchor>
        </w:drawing>
      </w:r>
      <w:r>
        <w:rPr>
          <w:noProof/>
          <w:lang w:eastAsia="cs-CZ"/>
        </w:rPr>
        <w:drawing>
          <wp:inline distT="0" distB="0" distL="0" distR="0">
            <wp:extent cx="1525905" cy="2004060"/>
            <wp:effectExtent l="0" t="0" r="0" b="0"/>
            <wp:docPr id="113" name="Obrázek 120" descr="Giardia, deworming, and WASH: a complex picture - BugBit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Obrázek 120" descr="Giardia, deworming, and WASH: a complex picture - BugBitten"/>
                    <pic:cNvPicPr>
                      <a:picLocks noChangeAspect="1" noChangeArrowheads="1"/>
                    </pic:cNvPicPr>
                  </pic:nvPicPr>
                  <pic:blipFill>
                    <a:blip r:embed="rId282"/>
                    <a:stretch>
                      <a:fillRect/>
                    </a:stretch>
                  </pic:blipFill>
                  <pic:spPr bwMode="auto">
                    <a:xfrm>
                      <a:off x="0" y="0"/>
                      <a:ext cx="1525905" cy="2004060"/>
                    </a:xfrm>
                    <a:prstGeom prst="rect">
                      <a:avLst/>
                    </a:prstGeom>
                  </pic:spPr>
                </pic:pic>
              </a:graphicData>
            </a:graphic>
          </wp:inline>
        </w:drawing>
      </w:r>
      <w:r>
        <w:rPr>
          <w:rFonts w:cs="Arial"/>
          <w:color w:val="202122"/>
          <w:sz w:val="18"/>
          <w:szCs w:val="18"/>
          <w:shd w:val="clear" w:color="auto" w:fill="FFFFFF"/>
        </w:rPr>
        <w:t xml:space="preserve"> </w:t>
      </w:r>
    </w:p>
    <w:p w:rsidR="00287B1D" w:rsidRDefault="00BB6CB9">
      <w:pPr>
        <w:spacing w:after="0"/>
        <w:ind w:right="284"/>
        <w:jc w:val="both"/>
        <w:rPr>
          <w:rFonts w:ascii="Segoe UI Black" w:hAnsi="Segoe UI Black" w:cs="Arial"/>
          <w:color w:val="202122"/>
          <w:sz w:val="14"/>
          <w:szCs w:val="14"/>
          <w:highlight w:val="white"/>
        </w:rPr>
      </w:pPr>
      <w:r>
        <w:rPr>
          <w:rFonts w:ascii="Segoe UI Black" w:hAnsi="Segoe UI Black" w:cs="Arial"/>
          <w:color w:val="202122"/>
          <w:sz w:val="14"/>
          <w:szCs w:val="14"/>
          <w:shd w:val="clear" w:color="auto" w:fill="FFFFFF"/>
        </w:rPr>
        <w:t xml:space="preserve">Obr. o) Giardia lamblia                                         Obr. p) Giardia -  životní </w:t>
      </w:r>
      <w:proofErr w:type="gramStart"/>
      <w:r>
        <w:rPr>
          <w:rFonts w:ascii="Segoe UI Black" w:hAnsi="Segoe UI Black" w:cs="Arial"/>
          <w:color w:val="202122"/>
          <w:sz w:val="14"/>
          <w:szCs w:val="14"/>
          <w:shd w:val="clear" w:color="auto" w:fill="FFFFFF"/>
        </w:rPr>
        <w:t>cyklus                                        Obr.</w:t>
      </w:r>
      <w:proofErr w:type="gramEnd"/>
      <w:r>
        <w:rPr>
          <w:rFonts w:ascii="Segoe UI Black" w:hAnsi="Segoe UI Black" w:cs="Arial"/>
          <w:color w:val="202122"/>
          <w:sz w:val="14"/>
          <w:szCs w:val="14"/>
          <w:shd w:val="clear" w:color="auto" w:fill="FFFFFF"/>
        </w:rPr>
        <w:t xml:space="preserve"> q) Kryptosporidium</w:t>
      </w:r>
    </w:p>
    <w:p w:rsidR="00287B1D" w:rsidRDefault="00287B1D">
      <w:pPr>
        <w:spacing w:after="0"/>
        <w:rPr>
          <w:sz w:val="18"/>
          <w:szCs w:val="18"/>
        </w:rPr>
      </w:pPr>
    </w:p>
    <w:p w:rsidR="00287B1D" w:rsidRDefault="00BB6CB9">
      <w:pPr>
        <w:spacing w:after="0"/>
        <w:jc w:val="center"/>
        <w:rPr>
          <w:color w:val="FF0000"/>
          <w:sz w:val="18"/>
          <w:szCs w:val="18"/>
        </w:rPr>
      </w:pPr>
      <w:r>
        <w:rPr>
          <w:sz w:val="18"/>
          <w:szCs w:val="18"/>
        </w:rPr>
        <w:t>Pariziti</w:t>
      </w:r>
      <w:r>
        <w:rPr>
          <w:b/>
          <w:sz w:val="18"/>
          <w:szCs w:val="18"/>
        </w:rPr>
        <w:t xml:space="preserve"> </w:t>
      </w:r>
      <w:r>
        <w:rPr>
          <w:color w:val="FF0000"/>
          <w:sz w:val="18"/>
          <w:szCs w:val="18"/>
        </w:rPr>
        <w:t>(Giardia Lamblia, Kryptosporidium)</w:t>
      </w:r>
    </w:p>
    <w:p w:rsidR="00287B1D" w:rsidRDefault="00287B1D">
      <w:pPr>
        <w:spacing w:after="0"/>
        <w:rPr>
          <w:color w:val="FF0000"/>
          <w:sz w:val="18"/>
          <w:szCs w:val="18"/>
        </w:rPr>
      </w:pPr>
    </w:p>
    <w:p w:rsidR="00287B1D" w:rsidRDefault="00BB6CB9">
      <w:pPr>
        <w:spacing w:after="0"/>
        <w:ind w:left="-426" w:right="283"/>
        <w:jc w:val="both"/>
        <w:rPr>
          <w:rFonts w:cs="Arial"/>
          <w:b/>
          <w:color w:val="FF0000"/>
          <w:sz w:val="18"/>
          <w:szCs w:val="18"/>
          <w:highlight w:val="white"/>
        </w:rPr>
      </w:pPr>
      <w:r>
        <w:rPr>
          <w:rFonts w:cs="Arial"/>
          <w:b/>
          <w:bCs/>
          <w:i/>
          <w:color w:val="202124"/>
          <w:sz w:val="18"/>
          <w:szCs w:val="18"/>
          <w:shd w:val="clear" w:color="auto" w:fill="FFFFFF"/>
        </w:rPr>
        <w:t>Giardia</w:t>
      </w:r>
      <w:r>
        <w:rPr>
          <w:rFonts w:cs="Arial"/>
          <w:b/>
          <w:i/>
          <w:color w:val="202124"/>
          <w:sz w:val="18"/>
          <w:szCs w:val="18"/>
          <w:shd w:val="clear" w:color="auto" w:fill="FFFFFF"/>
        </w:rPr>
        <w:t> lamblia</w:t>
      </w:r>
      <w:r>
        <w:rPr>
          <w:rFonts w:cs="Arial"/>
          <w:color w:val="202124"/>
          <w:sz w:val="18"/>
          <w:szCs w:val="18"/>
          <w:shd w:val="clear" w:color="auto" w:fill="FFFFFF"/>
        </w:rPr>
        <w:t xml:space="preserve"> - Giardióza, parazitární onemocnění </w:t>
      </w:r>
      <w:proofErr w:type="gramStart"/>
      <w:r>
        <w:rPr>
          <w:rFonts w:cs="Arial"/>
          <w:color w:val="202124"/>
          <w:sz w:val="18"/>
          <w:szCs w:val="18"/>
          <w:shd w:val="clear" w:color="auto" w:fill="FFFFFF"/>
        </w:rPr>
        <w:t>trávícího</w:t>
      </w:r>
      <w:proofErr w:type="gramEnd"/>
      <w:r>
        <w:rPr>
          <w:rFonts w:cs="Arial"/>
          <w:color w:val="202124"/>
          <w:sz w:val="18"/>
          <w:szCs w:val="18"/>
          <w:shd w:val="clear" w:color="auto" w:fill="FFFFFF"/>
        </w:rPr>
        <w:t xml:space="preserve"> traktu u psů, způsobené prvokem </w:t>
      </w:r>
      <w:r>
        <w:rPr>
          <w:rFonts w:cs="Arial"/>
          <w:b/>
          <w:bCs/>
          <w:color w:val="202124"/>
          <w:sz w:val="18"/>
          <w:szCs w:val="18"/>
          <w:shd w:val="clear" w:color="auto" w:fill="FFFFFF"/>
        </w:rPr>
        <w:t>Giardia</w:t>
      </w:r>
      <w:r>
        <w:rPr>
          <w:rFonts w:cs="Arial"/>
          <w:color w:val="202124"/>
          <w:sz w:val="18"/>
          <w:szCs w:val="18"/>
          <w:shd w:val="clear" w:color="auto" w:fill="FFFFFF"/>
        </w:rPr>
        <w:t> lamblia. Jedná se o  </w:t>
      </w:r>
      <w:r>
        <w:rPr>
          <w:rFonts w:cs="Arial"/>
          <w:b/>
          <w:bCs/>
          <w:color w:val="202124"/>
          <w:sz w:val="18"/>
          <w:szCs w:val="18"/>
          <w:shd w:val="clear" w:color="auto" w:fill="FFFFFF"/>
        </w:rPr>
        <w:t>parazita</w:t>
      </w:r>
      <w:r>
        <w:rPr>
          <w:rFonts w:cs="Arial"/>
          <w:color w:val="202124"/>
          <w:sz w:val="18"/>
          <w:szCs w:val="18"/>
          <w:shd w:val="clear" w:color="auto" w:fill="FFFFFF"/>
        </w:rPr>
        <w:t>, který žije v infikovaném střevním traktu zvířat, ale i člověka. Mezi typické symptomy onemocnění patří průjem, plynatost, křeče v horní části střevního traktu a také úbytek na váze.</w:t>
      </w:r>
      <w:r>
        <w:rPr>
          <w:rFonts w:cs="Arial"/>
          <w:color w:val="202122"/>
          <w:sz w:val="18"/>
          <w:szCs w:val="18"/>
          <w:shd w:val="clear" w:color="auto" w:fill="FFFFFF"/>
        </w:rPr>
        <w:t xml:space="preserve"> Lamblie tvoří </w:t>
      </w:r>
      <w:hyperlink r:id="rId283" w:tgtFrame="Cysta (stádium)">
        <w:r>
          <w:rPr>
            <w:rStyle w:val="Internetovodkaz"/>
            <w:rFonts w:cs="Arial"/>
            <w:color w:val="0B0080"/>
            <w:sz w:val="18"/>
            <w:szCs w:val="18"/>
            <w:highlight w:val="white"/>
          </w:rPr>
          <w:t>cysty</w:t>
        </w:r>
      </w:hyperlink>
      <w:r>
        <w:rPr>
          <w:rFonts w:cs="Arial"/>
          <w:color w:val="202122"/>
          <w:sz w:val="18"/>
          <w:szCs w:val="18"/>
          <w:shd w:val="clear" w:color="auto" w:fill="FFFFFF"/>
        </w:rPr>
        <w:t>, které se po požití v žaludku </w:t>
      </w:r>
      <w:hyperlink r:id="rId284" w:tgtFrame="Excystace (stránka neexistuje)">
        <w:r>
          <w:rPr>
            <w:rStyle w:val="Internetovodkaz"/>
            <w:rFonts w:cs="Arial"/>
            <w:color w:val="A55858"/>
            <w:sz w:val="18"/>
            <w:szCs w:val="18"/>
            <w:highlight w:val="white"/>
          </w:rPr>
          <w:t>excystují</w:t>
        </w:r>
      </w:hyperlink>
      <w:r>
        <w:rPr>
          <w:rFonts w:cs="Arial"/>
          <w:color w:val="202122"/>
          <w:sz w:val="18"/>
          <w:szCs w:val="18"/>
          <w:shd w:val="clear" w:color="auto" w:fill="FFFFFF"/>
        </w:rPr>
        <w:t> a mění se na </w:t>
      </w:r>
      <w:hyperlink r:id="rId285" w:tgtFrame="Trofozoit (stránka neexistuje)">
        <w:r>
          <w:rPr>
            <w:rStyle w:val="Internetovodkaz"/>
            <w:rFonts w:cs="Arial"/>
            <w:color w:val="A55858"/>
            <w:sz w:val="18"/>
            <w:szCs w:val="18"/>
            <w:highlight w:val="white"/>
          </w:rPr>
          <w:t>trofozoity</w:t>
        </w:r>
      </w:hyperlink>
      <w:r>
        <w:rPr>
          <w:rFonts w:cs="Arial"/>
          <w:color w:val="202122"/>
          <w:sz w:val="18"/>
          <w:szCs w:val="18"/>
          <w:shd w:val="clear" w:color="auto" w:fill="FFFFFF"/>
        </w:rPr>
        <w:t>. Usídlují se na povrchu sliznice tenkého střeva, především ve </w:t>
      </w:r>
      <w:hyperlink r:id="rId286" w:tgtFrame="Dvanáctník">
        <w:r>
          <w:rPr>
            <w:rStyle w:val="Internetovodkaz"/>
            <w:rFonts w:cs="Arial"/>
            <w:color w:val="0B0080"/>
            <w:sz w:val="18"/>
            <w:szCs w:val="18"/>
            <w:highlight w:val="white"/>
          </w:rPr>
          <w:t>dvanáctníku</w:t>
        </w:r>
      </w:hyperlink>
      <w:r>
        <w:rPr>
          <w:rFonts w:cs="Arial"/>
          <w:color w:val="202122"/>
          <w:sz w:val="18"/>
          <w:szCs w:val="18"/>
          <w:shd w:val="clear" w:color="auto" w:fill="FFFFFF"/>
        </w:rPr>
        <w:t> a proximální části </w:t>
      </w:r>
      <w:hyperlink r:id="rId287" w:tgtFrame="Lačník">
        <w:r>
          <w:rPr>
            <w:rStyle w:val="Internetovodkaz"/>
            <w:rFonts w:cs="Arial"/>
            <w:color w:val="0B0080"/>
            <w:sz w:val="18"/>
            <w:szCs w:val="18"/>
            <w:highlight w:val="white"/>
          </w:rPr>
          <w:t>lačníku</w:t>
        </w:r>
      </w:hyperlink>
      <w:r>
        <w:rPr>
          <w:rFonts w:cs="Arial"/>
          <w:color w:val="202122"/>
          <w:sz w:val="18"/>
          <w:szCs w:val="18"/>
          <w:shd w:val="clear" w:color="auto" w:fill="FFFFFF"/>
        </w:rPr>
        <w:t> (</w:t>
      </w:r>
      <w:hyperlink r:id="rId288" w:tgtFrame="Duodenum">
        <w:r>
          <w:rPr>
            <w:rStyle w:val="Internetovodkaz"/>
            <w:rFonts w:cs="Arial"/>
            <w:color w:val="0B0080"/>
            <w:sz w:val="18"/>
            <w:szCs w:val="18"/>
            <w:highlight w:val="white"/>
          </w:rPr>
          <w:t>duodenum</w:t>
        </w:r>
      </w:hyperlink>
      <w:r>
        <w:rPr>
          <w:rFonts w:cs="Arial"/>
          <w:color w:val="202122"/>
          <w:sz w:val="18"/>
          <w:szCs w:val="18"/>
          <w:shd w:val="clear" w:color="auto" w:fill="FFFFFF"/>
        </w:rPr>
        <w:t> a </w:t>
      </w:r>
      <w:hyperlink r:id="rId289" w:tgtFrame="Jejunum">
        <w:r>
          <w:rPr>
            <w:rStyle w:val="Internetovodkaz"/>
            <w:rFonts w:cs="Arial"/>
            <w:color w:val="0B0080"/>
            <w:sz w:val="18"/>
            <w:szCs w:val="18"/>
            <w:highlight w:val="white"/>
          </w:rPr>
          <w:t>jejunum</w:t>
        </w:r>
      </w:hyperlink>
      <w:r>
        <w:rPr>
          <w:rFonts w:cs="Arial"/>
          <w:color w:val="202122"/>
          <w:sz w:val="18"/>
          <w:szCs w:val="18"/>
          <w:shd w:val="clear" w:color="auto" w:fill="FFFFFF"/>
        </w:rPr>
        <w:t>, součást </w:t>
      </w:r>
      <w:hyperlink r:id="rId290" w:tgtFrame="Tenké střevo">
        <w:r>
          <w:rPr>
            <w:rStyle w:val="Internetovodkaz"/>
            <w:rFonts w:cs="Arial"/>
            <w:color w:val="0B0080"/>
            <w:sz w:val="18"/>
            <w:szCs w:val="18"/>
            <w:highlight w:val="white"/>
          </w:rPr>
          <w:t>tenkého střeva</w:t>
        </w:r>
      </w:hyperlink>
      <w:r>
        <w:rPr>
          <w:rFonts w:cs="Arial"/>
          <w:color w:val="202122"/>
          <w:sz w:val="18"/>
          <w:szCs w:val="18"/>
          <w:shd w:val="clear" w:color="auto" w:fill="FFFFFF"/>
        </w:rPr>
        <w:t>) nebo v </w:t>
      </w:r>
      <w:hyperlink r:id="rId291" w:tgtFrame="Žlučovod">
        <w:r>
          <w:rPr>
            <w:rStyle w:val="Internetovodkaz"/>
            <w:rFonts w:cs="Arial"/>
            <w:color w:val="0B0080"/>
            <w:sz w:val="18"/>
            <w:szCs w:val="18"/>
            <w:highlight w:val="white"/>
          </w:rPr>
          <w:t>žlučovodech</w:t>
        </w:r>
      </w:hyperlink>
      <w:r>
        <w:rPr>
          <w:rFonts w:cs="Arial"/>
          <w:color w:val="202122"/>
          <w:sz w:val="18"/>
          <w:szCs w:val="18"/>
          <w:shd w:val="clear" w:color="auto" w:fill="FFFFFF"/>
        </w:rPr>
        <w:t> a </w:t>
      </w:r>
      <w:hyperlink r:id="rId292" w:tgtFrame="Žlučník">
        <w:r>
          <w:rPr>
            <w:rStyle w:val="Internetovodkaz"/>
            <w:rFonts w:cs="Arial"/>
            <w:color w:val="0B0080"/>
            <w:sz w:val="18"/>
            <w:szCs w:val="18"/>
            <w:highlight w:val="white"/>
          </w:rPr>
          <w:t>žlučníku</w:t>
        </w:r>
      </w:hyperlink>
      <w:r>
        <w:rPr>
          <w:rFonts w:cs="Arial"/>
          <w:color w:val="202122"/>
          <w:sz w:val="18"/>
          <w:szCs w:val="18"/>
          <w:shd w:val="clear" w:color="auto" w:fill="FFFFFF"/>
        </w:rPr>
        <w:t>. Právě v tenkém střevě způsobují příznaky nemoci, protože trofozoiti mechanicky ničí svým přísavným diskem stěnu tenkého střeva a to tak, že se </w:t>
      </w:r>
      <w:hyperlink r:id="rId293" w:tgtFrame="Adhezivní disk (stránka neexistuje)">
        <w:r>
          <w:rPr>
            <w:rStyle w:val="Internetovodkaz"/>
            <w:rFonts w:cs="Arial"/>
            <w:color w:val="A55858"/>
            <w:sz w:val="18"/>
            <w:szCs w:val="18"/>
            <w:highlight w:val="white"/>
          </w:rPr>
          <w:t>adhezivním diskem</w:t>
        </w:r>
      </w:hyperlink>
      <w:r>
        <w:rPr>
          <w:rFonts w:cs="Arial"/>
          <w:color w:val="202122"/>
          <w:sz w:val="18"/>
          <w:szCs w:val="18"/>
          <w:shd w:val="clear" w:color="auto" w:fill="FFFFFF"/>
        </w:rPr>
        <w:t> přichycují na povrch </w:t>
      </w:r>
      <w:hyperlink r:id="rId294" w:tgtFrame="Enterocyt">
        <w:r>
          <w:rPr>
            <w:rStyle w:val="Internetovodkaz"/>
            <w:rFonts w:cs="Arial"/>
            <w:color w:val="0B0080"/>
            <w:sz w:val="18"/>
            <w:szCs w:val="18"/>
            <w:highlight w:val="white"/>
          </w:rPr>
          <w:t>enterocytů</w:t>
        </w:r>
      </w:hyperlink>
      <w:r>
        <w:rPr>
          <w:rFonts w:cs="Arial"/>
          <w:color w:val="202122"/>
          <w:sz w:val="18"/>
          <w:szCs w:val="18"/>
          <w:shd w:val="clear" w:color="auto" w:fill="FFFFFF"/>
        </w:rPr>
        <w:t> a pokryjí sliznici střeva, kterou tak zbaví </w:t>
      </w:r>
      <w:hyperlink r:id="rId295" w:tgtFrame="Resorpce (stránka neexistuje)">
        <w:r>
          <w:rPr>
            <w:rStyle w:val="Internetovodkaz"/>
            <w:rFonts w:cs="Arial"/>
            <w:color w:val="A55858"/>
            <w:sz w:val="18"/>
            <w:szCs w:val="18"/>
            <w:highlight w:val="white"/>
          </w:rPr>
          <w:t>resorpční</w:t>
        </w:r>
      </w:hyperlink>
      <w:r>
        <w:rPr>
          <w:rFonts w:cs="Arial"/>
          <w:color w:val="202122"/>
          <w:sz w:val="18"/>
          <w:szCs w:val="18"/>
          <w:shd w:val="clear" w:color="auto" w:fill="FFFFFF"/>
        </w:rPr>
        <w:t> schopnosti a naruší tím trávení. Proto se </w:t>
      </w:r>
      <w:r>
        <w:rPr>
          <w:rFonts w:cs="Arial"/>
          <w:i/>
          <w:iCs/>
          <w:color w:val="202122"/>
          <w:sz w:val="18"/>
          <w:szCs w:val="18"/>
          <w:shd w:val="clear" w:color="auto" w:fill="FFFFFF"/>
        </w:rPr>
        <w:t>Giardii</w:t>
      </w:r>
      <w:r>
        <w:rPr>
          <w:rFonts w:cs="Arial"/>
          <w:color w:val="202122"/>
          <w:sz w:val="18"/>
          <w:szCs w:val="18"/>
          <w:shd w:val="clear" w:color="auto" w:fill="FFFFFF"/>
        </w:rPr>
        <w:t> říká tzv. </w:t>
      </w:r>
      <w:r>
        <w:rPr>
          <w:rFonts w:cs="Arial"/>
          <w:b/>
          <w:bCs/>
          <w:color w:val="202122"/>
          <w:sz w:val="18"/>
          <w:szCs w:val="18"/>
          <w:shd w:val="clear" w:color="auto" w:fill="FFFFFF"/>
        </w:rPr>
        <w:t>kobercový parazit</w:t>
      </w:r>
      <w:r>
        <w:rPr>
          <w:rFonts w:cs="Arial"/>
          <w:color w:val="202122"/>
          <w:sz w:val="18"/>
          <w:szCs w:val="18"/>
          <w:shd w:val="clear" w:color="auto" w:fill="FFFFFF"/>
        </w:rPr>
        <w:t>. Rovněž se množí a tvoří se </w:t>
      </w:r>
      <w:hyperlink r:id="rId296" w:tgtFrame="Cysta (stadium)">
        <w:r>
          <w:rPr>
            <w:rStyle w:val="Internetovodkaz"/>
            <w:rFonts w:cs="Arial"/>
            <w:color w:val="0B0080"/>
            <w:sz w:val="18"/>
            <w:szCs w:val="18"/>
            <w:highlight w:val="white"/>
          </w:rPr>
          <w:t>cysty</w:t>
        </w:r>
      </w:hyperlink>
      <w:r>
        <w:rPr>
          <w:rFonts w:cs="Arial"/>
          <w:color w:val="202122"/>
          <w:sz w:val="18"/>
          <w:szCs w:val="18"/>
          <w:shd w:val="clear" w:color="auto" w:fill="FFFFFF"/>
        </w:rPr>
        <w:t xml:space="preserve">, které odcházejí z těla ven a </w:t>
      </w:r>
      <w:r>
        <w:rPr>
          <w:rFonts w:cs="Arial"/>
          <w:b/>
          <w:color w:val="FF0000"/>
          <w:sz w:val="18"/>
          <w:szCs w:val="18"/>
          <w:shd w:val="clear" w:color="auto" w:fill="FFFFFF"/>
        </w:rPr>
        <w:t>obvykle dalšího hostitele nakazí skrz znečištěnou vodu nebo potraviny.</w:t>
      </w:r>
    </w:p>
    <w:p w:rsidR="00287B1D" w:rsidRDefault="00287B1D">
      <w:pPr>
        <w:spacing w:after="0"/>
        <w:rPr>
          <w:rFonts w:cs="Arial"/>
          <w:b/>
          <w:color w:val="FF0000"/>
          <w:sz w:val="18"/>
          <w:szCs w:val="18"/>
          <w:highlight w:val="white"/>
        </w:rPr>
      </w:pPr>
    </w:p>
    <w:p w:rsidR="00287B1D" w:rsidRDefault="00BB6CB9">
      <w:pPr>
        <w:spacing w:after="0"/>
        <w:ind w:left="-426" w:right="283" w:firstLine="1134"/>
        <w:jc w:val="both"/>
        <w:rPr>
          <w:rFonts w:cs="Arial"/>
          <w:color w:val="202122"/>
          <w:sz w:val="18"/>
          <w:szCs w:val="18"/>
          <w:highlight w:val="white"/>
        </w:rPr>
      </w:pPr>
      <w:r>
        <w:rPr>
          <w:rFonts w:cs="Arial"/>
          <w:b/>
          <w:bCs/>
          <w:i/>
          <w:iCs/>
          <w:color w:val="202122"/>
          <w:sz w:val="18"/>
          <w:szCs w:val="18"/>
          <w:shd w:val="clear" w:color="auto" w:fill="FFFFFF"/>
        </w:rPr>
        <w:t>Cryptosporidium</w:t>
      </w:r>
      <w:r>
        <w:rPr>
          <w:rFonts w:cs="Arial"/>
          <w:color w:val="202122"/>
          <w:sz w:val="18"/>
          <w:szCs w:val="18"/>
          <w:shd w:val="clear" w:color="auto" w:fill="FFFFFF"/>
        </w:rPr>
        <w:t> je </w:t>
      </w:r>
      <w:hyperlink r:id="rId297" w:tgtFrame="Rod">
        <w:r>
          <w:rPr>
            <w:rStyle w:val="Internetovodkaz"/>
            <w:rFonts w:cs="Arial"/>
            <w:color w:val="0B0080"/>
            <w:sz w:val="18"/>
            <w:szCs w:val="18"/>
            <w:highlight w:val="white"/>
          </w:rPr>
          <w:t>rod</w:t>
        </w:r>
      </w:hyperlink>
      <w:r>
        <w:rPr>
          <w:rFonts w:cs="Arial"/>
          <w:color w:val="202122"/>
          <w:sz w:val="18"/>
          <w:szCs w:val="18"/>
          <w:shd w:val="clear" w:color="auto" w:fill="FFFFFF"/>
        </w:rPr>
        <w:t> jednohostitelských </w:t>
      </w:r>
      <w:hyperlink r:id="rId298" w:tgtFrame="Kokcidie">
        <w:r>
          <w:rPr>
            <w:rStyle w:val="Internetovodkaz"/>
            <w:rFonts w:cs="Arial"/>
            <w:color w:val="0B0080"/>
            <w:sz w:val="18"/>
            <w:szCs w:val="18"/>
            <w:highlight w:val="white"/>
          </w:rPr>
          <w:t>kokcidií</w:t>
        </w:r>
      </w:hyperlink>
      <w:r>
        <w:rPr>
          <w:rFonts w:cs="Arial"/>
          <w:color w:val="202122"/>
          <w:sz w:val="18"/>
          <w:szCs w:val="18"/>
          <w:shd w:val="clear" w:color="auto" w:fill="FFFFFF"/>
        </w:rPr>
        <w:t> kmene </w:t>
      </w:r>
      <w:hyperlink r:id="rId299" w:tgtFrame="Výtrusovci">
        <w:r>
          <w:rPr>
            <w:rStyle w:val="Internetovodkaz"/>
            <w:rFonts w:cs="Arial"/>
            <w:color w:val="0B0080"/>
            <w:sz w:val="18"/>
            <w:szCs w:val="18"/>
            <w:highlight w:val="white"/>
          </w:rPr>
          <w:t>Apicomplexa</w:t>
        </w:r>
      </w:hyperlink>
      <w:r>
        <w:rPr>
          <w:rFonts w:cs="Arial"/>
          <w:color w:val="202122"/>
          <w:sz w:val="18"/>
          <w:szCs w:val="18"/>
          <w:shd w:val="clear" w:color="auto" w:fill="FFFFFF"/>
        </w:rPr>
        <w:t> vyskytujících se u </w:t>
      </w:r>
      <w:hyperlink r:id="rId300" w:tgtFrame="Savci">
        <w:r>
          <w:rPr>
            <w:rStyle w:val="Internetovodkaz"/>
            <w:rFonts w:cs="Arial"/>
            <w:color w:val="0B0080"/>
            <w:sz w:val="18"/>
            <w:szCs w:val="18"/>
            <w:highlight w:val="white"/>
          </w:rPr>
          <w:t>savců</w:t>
        </w:r>
      </w:hyperlink>
      <w:r>
        <w:rPr>
          <w:rFonts w:cs="Arial"/>
          <w:color w:val="202122"/>
          <w:sz w:val="18"/>
          <w:szCs w:val="18"/>
          <w:shd w:val="clear" w:color="auto" w:fill="FFFFFF"/>
        </w:rPr>
        <w:t>, </w:t>
      </w:r>
      <w:hyperlink r:id="rId301" w:tgtFrame="Ptáci">
        <w:r>
          <w:rPr>
            <w:rStyle w:val="Internetovodkaz"/>
            <w:rFonts w:cs="Arial"/>
            <w:color w:val="0B0080"/>
            <w:sz w:val="18"/>
            <w:szCs w:val="18"/>
            <w:highlight w:val="white"/>
          </w:rPr>
          <w:t>ptáků</w:t>
        </w:r>
      </w:hyperlink>
      <w:r>
        <w:rPr>
          <w:rFonts w:cs="Arial"/>
          <w:color w:val="202122"/>
          <w:sz w:val="18"/>
          <w:szCs w:val="18"/>
          <w:shd w:val="clear" w:color="auto" w:fill="FFFFFF"/>
        </w:rPr>
        <w:t xml:space="preserve"> a  </w:t>
      </w:r>
      <w:hyperlink r:id="rId302" w:tgtFrame="Plazi">
        <w:r>
          <w:rPr>
            <w:rStyle w:val="Internetovodkaz"/>
            <w:rFonts w:cs="Arial"/>
            <w:color w:val="0B0080"/>
            <w:sz w:val="18"/>
            <w:szCs w:val="18"/>
            <w:highlight w:val="white"/>
          </w:rPr>
          <w:t>plazů</w:t>
        </w:r>
      </w:hyperlink>
      <w:r>
        <w:rPr>
          <w:sz w:val="18"/>
          <w:szCs w:val="18"/>
        </w:rPr>
        <w:t xml:space="preserve">. </w:t>
      </w:r>
      <w:r>
        <w:rPr>
          <w:rFonts w:cs="Arial"/>
          <w:color w:val="202122"/>
          <w:sz w:val="18"/>
          <w:szCs w:val="18"/>
          <w:shd w:val="clear" w:color="auto" w:fill="FFFFFF"/>
        </w:rPr>
        <w:t xml:space="preserve">Endogenní vývoj probíhá v tenkém střevě. Oocysty jsou pozřeny s potravou, </w:t>
      </w:r>
      <w:r>
        <w:rPr>
          <w:rFonts w:cs="Arial"/>
          <w:b/>
          <w:color w:val="FF0000"/>
          <w:sz w:val="18"/>
          <w:szCs w:val="18"/>
          <w:shd w:val="clear" w:color="auto" w:fill="FFFFFF"/>
        </w:rPr>
        <w:t>vodou</w:t>
      </w:r>
      <w:r>
        <w:rPr>
          <w:rFonts w:cs="Arial"/>
          <w:color w:val="202122"/>
          <w:sz w:val="18"/>
          <w:szCs w:val="18"/>
          <w:shd w:val="clear" w:color="auto" w:fill="FFFFFF"/>
        </w:rPr>
        <w:t>, z vnějšího prostředí nebo inhalovány vhodným hostitelem. Sporozoity pronikají slizničními buňkami zažívacího traktu. Mají však schopnost se uvolňovat z oocysty i spontánně, což částečně vysvětluje, proč kryptosporidie mohou infikovat tkáně mimo zažívací trakt, např. oční spojivku či dýchací systém.  Teplota a vlhkost umožňují oocystám dlouhou dobu životaschopnosti, zůstávají infekční až po dobu 1 roku. Oocysty kryptosporidií spolehlivě ničí </w:t>
      </w:r>
      <w:hyperlink r:id="rId303" w:tgtFrame="Peroxid vodíku">
        <w:r>
          <w:rPr>
            <w:rStyle w:val="Internetovodkaz"/>
            <w:rFonts w:cs="Arial"/>
            <w:b/>
            <w:color w:val="FF0000"/>
            <w:sz w:val="18"/>
            <w:szCs w:val="18"/>
            <w:highlight w:val="white"/>
          </w:rPr>
          <w:t>peroxid vodíku</w:t>
        </w:r>
      </w:hyperlink>
      <w:r>
        <w:rPr>
          <w:rFonts w:cs="Arial"/>
          <w:color w:val="202122"/>
          <w:sz w:val="18"/>
          <w:szCs w:val="18"/>
          <w:shd w:val="clear" w:color="auto" w:fill="FFFFFF"/>
        </w:rPr>
        <w:t xml:space="preserve"> a chlordioxid, </w:t>
      </w:r>
      <w:r>
        <w:rPr>
          <w:rFonts w:cs="Arial"/>
          <w:color w:val="FF0000"/>
          <w:sz w:val="18"/>
          <w:szCs w:val="18"/>
          <w:shd w:val="clear" w:color="auto" w:fill="FFFFFF"/>
        </w:rPr>
        <w:t xml:space="preserve">vysoké teploty (65 °C po 20 minut) a zmrazení. </w:t>
      </w:r>
      <w:r>
        <w:rPr>
          <w:rFonts w:cs="Arial"/>
          <w:color w:val="FF0000"/>
          <w:sz w:val="18"/>
          <w:szCs w:val="18"/>
          <w:highlight w:val="yellow"/>
          <w:shd w:val="clear" w:color="auto" w:fill="FFFFFF"/>
        </w:rPr>
        <w:t>Ozonizace vody také napomáhá devitalizaci oocyst kryptosporidií</w:t>
      </w:r>
      <w:r>
        <w:rPr>
          <w:rFonts w:cs="Arial"/>
          <w:color w:val="202122"/>
          <w:sz w:val="18"/>
          <w:szCs w:val="18"/>
          <w:shd w:val="clear" w:color="auto" w:fill="FFFFFF"/>
        </w:rPr>
        <w:t>. Jejich vitalitu také ovlivňuje </w:t>
      </w:r>
      <w:hyperlink r:id="rId304" w:tgtFrame="Ultrafialové záření">
        <w:r>
          <w:rPr>
            <w:rStyle w:val="Internetovodkaz"/>
            <w:rFonts w:cs="Arial"/>
            <w:color w:val="0B0080"/>
            <w:sz w:val="18"/>
            <w:szCs w:val="18"/>
            <w:highlight w:val="yellow"/>
          </w:rPr>
          <w:t>UV záření</w:t>
        </w:r>
      </w:hyperlink>
      <w:r>
        <w:rPr>
          <w:rFonts w:cs="Arial"/>
          <w:color w:val="202122"/>
          <w:sz w:val="18"/>
          <w:szCs w:val="18"/>
          <w:shd w:val="clear" w:color="auto" w:fill="FFFFFF"/>
        </w:rPr>
        <w:t>, přičemž přirozené sluneční záření se tak stává významným faktorem, který dezinfikuje vnější prostředí. Druhy </w:t>
      </w:r>
      <w:r>
        <w:rPr>
          <w:rFonts w:cs="Arial"/>
          <w:i/>
          <w:iCs/>
          <w:color w:val="202122"/>
          <w:sz w:val="18"/>
          <w:szCs w:val="18"/>
          <w:shd w:val="clear" w:color="auto" w:fill="FFFFFF"/>
        </w:rPr>
        <w:t>Cryptosporidium hominis</w:t>
      </w:r>
      <w:r>
        <w:rPr>
          <w:rFonts w:cs="Arial"/>
          <w:color w:val="202122"/>
          <w:sz w:val="18"/>
          <w:szCs w:val="18"/>
          <w:shd w:val="clear" w:color="auto" w:fill="FFFFFF"/>
        </w:rPr>
        <w:t> a </w:t>
      </w:r>
      <w:hyperlink r:id="rId305" w:tgtFrame="Cryptosporidium parvum">
        <w:r>
          <w:rPr>
            <w:rStyle w:val="Internetovodkaz"/>
            <w:rFonts w:cs="Arial"/>
            <w:i/>
            <w:iCs/>
            <w:color w:val="0B0080"/>
            <w:sz w:val="18"/>
            <w:szCs w:val="18"/>
            <w:highlight w:val="white"/>
          </w:rPr>
          <w:t>C. parvum</w:t>
        </w:r>
      </w:hyperlink>
      <w:r>
        <w:rPr>
          <w:rFonts w:cs="Arial"/>
          <w:color w:val="202122"/>
          <w:sz w:val="18"/>
          <w:szCs w:val="18"/>
          <w:shd w:val="clear" w:color="auto" w:fill="FFFFFF"/>
        </w:rPr>
        <w:t xml:space="preserve"> genotyp 1 jsou významnými parazity člověka. Přenáší se nejčastěji </w:t>
      </w:r>
      <w:r>
        <w:rPr>
          <w:rFonts w:cs="Arial"/>
          <w:b/>
          <w:color w:val="FF0000"/>
          <w:sz w:val="18"/>
          <w:szCs w:val="18"/>
          <w:shd w:val="clear" w:color="auto" w:fill="FFFFFF"/>
        </w:rPr>
        <w:t>kontaminovanou vodou</w:t>
      </w:r>
      <w:r>
        <w:rPr>
          <w:rFonts w:cs="Arial"/>
          <w:color w:val="202122"/>
          <w:sz w:val="18"/>
          <w:szCs w:val="18"/>
          <w:shd w:val="clear" w:color="auto" w:fill="FFFFFF"/>
        </w:rPr>
        <w:t>, zeleninou, přímým kontaktem s infikovaným jedincem, jakož i dalšími cestami. U lidí způsobuje akutní </w:t>
      </w:r>
      <w:hyperlink r:id="rId306" w:tgtFrame="Průjem">
        <w:r>
          <w:rPr>
            <w:rStyle w:val="Internetovodkaz"/>
            <w:rFonts w:cs="Arial"/>
            <w:color w:val="0B0080"/>
            <w:sz w:val="18"/>
            <w:szCs w:val="18"/>
            <w:highlight w:val="white"/>
          </w:rPr>
          <w:t>průjmové onemocnění</w:t>
        </w:r>
      </w:hyperlink>
      <w:r>
        <w:rPr>
          <w:rFonts w:cs="Arial"/>
          <w:color w:val="202122"/>
          <w:sz w:val="18"/>
          <w:szCs w:val="18"/>
          <w:shd w:val="clear" w:color="auto" w:fill="FFFFFF"/>
        </w:rPr>
        <w:t> a bolesti břicha, které u imunokompetentních lidí odezní zpravidla do týdne. U imunokompromitovaných jedinců (např. </w:t>
      </w:r>
      <w:hyperlink r:id="rId307" w:tgtFrame="HIV">
        <w:r>
          <w:rPr>
            <w:rStyle w:val="Internetovodkaz"/>
            <w:rFonts w:cs="Arial"/>
            <w:color w:val="0B0080"/>
            <w:sz w:val="18"/>
            <w:szCs w:val="18"/>
            <w:highlight w:val="white"/>
          </w:rPr>
          <w:t>HIV</w:t>
        </w:r>
      </w:hyperlink>
      <w:r>
        <w:rPr>
          <w:rFonts w:cs="Arial"/>
          <w:color w:val="202122"/>
          <w:sz w:val="18"/>
          <w:szCs w:val="18"/>
          <w:shd w:val="clear" w:color="auto" w:fill="FFFFFF"/>
        </w:rPr>
        <w:t> pozitivní) je průběh závažnější, průjmy jsou chronického charakteru a nemoc může končit i fatálně.</w:t>
      </w:r>
    </w:p>
    <w:p w:rsidR="00287B1D" w:rsidRDefault="00287B1D">
      <w:pPr>
        <w:spacing w:after="0"/>
        <w:ind w:left="-426" w:right="283" w:firstLine="708"/>
        <w:jc w:val="both"/>
        <w:rPr>
          <w:rFonts w:cs="Arial"/>
          <w:b/>
          <w:color w:val="FF0000"/>
          <w:sz w:val="18"/>
          <w:szCs w:val="18"/>
          <w:highlight w:val="white"/>
          <w:vertAlign w:val="superscript"/>
        </w:rPr>
      </w:pPr>
    </w:p>
    <w:p w:rsidR="00287B1D" w:rsidRDefault="00287B1D">
      <w:pPr>
        <w:spacing w:after="0"/>
        <w:ind w:left="-426" w:right="283" w:firstLine="708"/>
        <w:jc w:val="both"/>
        <w:rPr>
          <w:rFonts w:cs="Arial"/>
          <w:b/>
          <w:color w:val="FF0000"/>
          <w:sz w:val="18"/>
          <w:szCs w:val="18"/>
          <w:highlight w:val="white"/>
          <w:vertAlign w:val="superscript"/>
        </w:rPr>
      </w:pPr>
    </w:p>
    <w:p w:rsidR="00287B1D" w:rsidRDefault="00BB6CB9">
      <w:pPr>
        <w:spacing w:line="240" w:lineRule="auto"/>
        <w:ind w:left="-426"/>
        <w:rPr>
          <w:rFonts w:cstheme="minorHAnsi"/>
          <w:sz w:val="14"/>
          <w:szCs w:val="14"/>
        </w:rPr>
      </w:pPr>
      <w:proofErr w:type="gramStart"/>
      <w:r>
        <w:rPr>
          <w:rFonts w:cstheme="minorHAnsi"/>
          <w:sz w:val="14"/>
          <w:szCs w:val="14"/>
        </w:rPr>
        <w:t>Obr.30</w:t>
      </w:r>
      <w:proofErr w:type="gramEnd"/>
      <w:r>
        <w:rPr>
          <w:rFonts w:cstheme="minorHAnsi"/>
          <w:sz w:val="14"/>
          <w:szCs w:val="14"/>
        </w:rPr>
        <w:t xml:space="preserve"> o, p, q)  Sledované Giardia Lamblii, Cryptosporidium, vyskytující se v kontaminované vodě, AQ3 Mini   zachytí, deaktivuje</w:t>
      </w:r>
    </w:p>
    <w:p w:rsidR="00287B1D" w:rsidRDefault="00BB6CB9">
      <w:pPr>
        <w:spacing w:line="240" w:lineRule="auto"/>
        <w:ind w:left="-426"/>
        <w:jc w:val="center"/>
        <w:rPr>
          <w:rFonts w:cstheme="minorHAnsi"/>
          <w:b/>
          <w:i/>
          <w:sz w:val="18"/>
          <w:szCs w:val="18"/>
        </w:rPr>
      </w:pPr>
      <w:r>
        <w:rPr>
          <w:noProof/>
          <w:lang w:eastAsia="cs-CZ"/>
        </w:rPr>
        <w:lastRenderedPageBreak/>
        <w:drawing>
          <wp:inline distT="0" distB="0" distL="0" distR="0">
            <wp:extent cx="3079750" cy="1732915"/>
            <wp:effectExtent l="0" t="0" r="0" b="0"/>
            <wp:docPr id="114" name="Obrázek 52" descr="Hepatitis A: How is it sp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Obrázek 52" descr="Hepatitis A: How is it spread?"/>
                    <pic:cNvPicPr>
                      <a:picLocks noChangeAspect="1" noChangeArrowheads="1"/>
                    </pic:cNvPicPr>
                  </pic:nvPicPr>
                  <pic:blipFill>
                    <a:blip r:embed="rId308"/>
                    <a:stretch>
                      <a:fillRect/>
                    </a:stretch>
                  </pic:blipFill>
                  <pic:spPr bwMode="auto">
                    <a:xfrm>
                      <a:off x="0" y="0"/>
                      <a:ext cx="3079750" cy="1732915"/>
                    </a:xfrm>
                    <a:prstGeom prst="rect">
                      <a:avLst/>
                    </a:prstGeom>
                  </pic:spPr>
                </pic:pic>
              </a:graphicData>
            </a:graphic>
          </wp:inline>
        </w:drawing>
      </w:r>
    </w:p>
    <w:p w:rsidR="00287B1D" w:rsidRDefault="00BB6CB9">
      <w:pPr>
        <w:spacing w:line="240" w:lineRule="auto"/>
        <w:ind w:left="-426"/>
        <w:jc w:val="center"/>
        <w:rPr>
          <w:rFonts w:ascii="Segoe UI Black" w:hAnsi="Segoe UI Black" w:cstheme="minorHAnsi"/>
          <w:b/>
          <w:i/>
          <w:sz w:val="14"/>
          <w:szCs w:val="14"/>
        </w:rPr>
      </w:pPr>
      <w:r>
        <w:rPr>
          <w:rFonts w:ascii="Segoe UI Black" w:hAnsi="Segoe UI Black" w:cstheme="minorHAnsi"/>
          <w:b/>
          <w:i/>
          <w:sz w:val="14"/>
          <w:szCs w:val="14"/>
        </w:rPr>
        <w:t>Obr. r) Hepatitis A</w:t>
      </w:r>
    </w:p>
    <w:p w:rsidR="00287B1D" w:rsidRDefault="00BB6CB9">
      <w:pPr>
        <w:spacing w:line="240" w:lineRule="auto"/>
        <w:ind w:left="-426"/>
        <w:jc w:val="center"/>
        <w:rPr>
          <w:rFonts w:cstheme="minorHAnsi"/>
          <w:sz w:val="18"/>
          <w:szCs w:val="18"/>
        </w:rPr>
      </w:pPr>
      <w:r>
        <w:rPr>
          <w:rFonts w:cstheme="minorHAnsi"/>
          <w:sz w:val="18"/>
          <w:szCs w:val="18"/>
        </w:rPr>
        <w:t>Hepatitis A</w:t>
      </w:r>
    </w:p>
    <w:p w:rsidR="00287B1D" w:rsidRDefault="00BB6CB9">
      <w:pPr>
        <w:spacing w:line="240" w:lineRule="auto"/>
        <w:ind w:left="-426"/>
        <w:rPr>
          <w:rFonts w:cstheme="minorHAnsi"/>
          <w:sz w:val="18"/>
          <w:szCs w:val="18"/>
        </w:rPr>
      </w:pPr>
      <w:proofErr w:type="gramStart"/>
      <w:r>
        <w:rPr>
          <w:rFonts w:cstheme="minorHAnsi"/>
          <w:b/>
          <w:i/>
          <w:sz w:val="18"/>
          <w:szCs w:val="18"/>
        </w:rPr>
        <w:t>Hepatitis A</w:t>
      </w:r>
      <w:r>
        <w:rPr>
          <w:rFonts w:cstheme="minorHAnsi"/>
          <w:sz w:val="18"/>
          <w:szCs w:val="18"/>
        </w:rPr>
        <w:t>,</w:t>
      </w:r>
      <w:r>
        <w:rPr>
          <w:rFonts w:cstheme="minorHAnsi"/>
          <w:b/>
          <w:i/>
          <w:sz w:val="18"/>
          <w:szCs w:val="18"/>
        </w:rPr>
        <w:t xml:space="preserve">  </w:t>
      </w:r>
      <w:r>
        <w:rPr>
          <w:rFonts w:cstheme="minorHAnsi"/>
          <w:sz w:val="18"/>
          <w:szCs w:val="18"/>
        </w:rPr>
        <w:t>je</w:t>
      </w:r>
      <w:proofErr w:type="gramEnd"/>
      <w:r>
        <w:rPr>
          <w:rFonts w:cstheme="minorHAnsi"/>
          <w:sz w:val="18"/>
          <w:szCs w:val="18"/>
        </w:rPr>
        <w:t xml:space="preserve"> virus,  odpovědný za infekci jater (žloutenka), přenášející  se  </w:t>
      </w:r>
      <w:r>
        <w:rPr>
          <w:rFonts w:cstheme="minorHAnsi"/>
          <w:b/>
          <w:color w:val="FF0000"/>
          <w:sz w:val="18"/>
          <w:szCs w:val="18"/>
        </w:rPr>
        <w:t>kontaminovanou vodou</w:t>
      </w:r>
      <w:r>
        <w:rPr>
          <w:rFonts w:cstheme="minorHAnsi"/>
          <w:sz w:val="18"/>
          <w:szCs w:val="18"/>
        </w:rPr>
        <w:t xml:space="preserve">, potravinami a kapénkovou infekcí. Šíření </w:t>
      </w:r>
      <w:proofErr w:type="gramStart"/>
      <w:r>
        <w:rPr>
          <w:rFonts w:cstheme="minorHAnsi"/>
          <w:sz w:val="18"/>
          <w:szCs w:val="18"/>
        </w:rPr>
        <w:t>může  mít</w:t>
      </w:r>
      <w:proofErr w:type="gramEnd"/>
      <w:r>
        <w:rPr>
          <w:rFonts w:cstheme="minorHAnsi"/>
          <w:sz w:val="18"/>
          <w:szCs w:val="18"/>
        </w:rPr>
        <w:t xml:space="preserve">  epidemický charakter.</w:t>
      </w:r>
    </w:p>
    <w:p w:rsidR="00287B1D" w:rsidRDefault="00BB6CB9">
      <w:pPr>
        <w:spacing w:line="240" w:lineRule="auto"/>
        <w:ind w:left="-426"/>
        <w:rPr>
          <w:rFonts w:cstheme="minorHAnsi"/>
          <w:sz w:val="14"/>
          <w:szCs w:val="14"/>
        </w:rPr>
      </w:pPr>
      <w:proofErr w:type="gramStart"/>
      <w:r>
        <w:rPr>
          <w:rFonts w:cstheme="minorHAnsi"/>
          <w:sz w:val="14"/>
          <w:szCs w:val="14"/>
        </w:rPr>
        <w:t>Obr.31</w:t>
      </w:r>
      <w:proofErr w:type="gramEnd"/>
      <w:r>
        <w:rPr>
          <w:rFonts w:cstheme="minorHAnsi"/>
          <w:sz w:val="14"/>
          <w:szCs w:val="14"/>
        </w:rPr>
        <w:t xml:space="preserve"> r), Sledovaný Hepatitis A, vyskytující se v kontaminované vodě AQ3 mini zachytí, deaktivuje</w:t>
      </w:r>
    </w:p>
    <w:p w:rsidR="00287B1D" w:rsidRDefault="00287B1D">
      <w:pPr>
        <w:spacing w:line="240" w:lineRule="auto"/>
        <w:ind w:left="-426"/>
        <w:rPr>
          <w:rFonts w:cstheme="minorHAnsi"/>
          <w:sz w:val="14"/>
          <w:szCs w:val="14"/>
        </w:rPr>
      </w:pPr>
    </w:p>
    <w:p w:rsidR="00287B1D" w:rsidRDefault="00287B1D">
      <w:pPr>
        <w:spacing w:line="240" w:lineRule="auto"/>
        <w:ind w:left="-426"/>
        <w:rPr>
          <w:rFonts w:cstheme="minorHAnsi"/>
          <w:sz w:val="14"/>
          <w:szCs w:val="14"/>
        </w:rPr>
      </w:pPr>
    </w:p>
    <w:p w:rsidR="00287B1D" w:rsidRDefault="00287B1D">
      <w:pPr>
        <w:spacing w:line="240" w:lineRule="auto"/>
        <w:ind w:left="-426"/>
        <w:rPr>
          <w:rFonts w:cstheme="minorHAnsi"/>
          <w:sz w:val="14"/>
          <w:szCs w:val="14"/>
        </w:rPr>
      </w:pPr>
    </w:p>
    <w:p w:rsidR="00287B1D" w:rsidRDefault="00287B1D">
      <w:pPr>
        <w:spacing w:line="240" w:lineRule="auto"/>
        <w:ind w:left="-426"/>
        <w:rPr>
          <w:rFonts w:cstheme="minorHAnsi"/>
          <w:sz w:val="14"/>
          <w:szCs w:val="14"/>
        </w:rPr>
      </w:pPr>
    </w:p>
    <w:p w:rsidR="00287B1D" w:rsidRDefault="00BB6CB9">
      <w:pPr>
        <w:spacing w:after="0"/>
        <w:rPr>
          <w:lang w:eastAsia="cs-CZ"/>
        </w:rPr>
      </w:pPr>
      <w:r>
        <w:rPr>
          <w:lang w:eastAsia="cs-CZ"/>
        </w:rPr>
        <w:t xml:space="preserve">    </w:t>
      </w:r>
      <w:r>
        <w:rPr>
          <w:noProof/>
          <w:lang w:eastAsia="cs-CZ"/>
        </w:rPr>
        <w:drawing>
          <wp:inline distT="0" distB="0" distL="0" distR="0">
            <wp:extent cx="1986915" cy="1325245"/>
            <wp:effectExtent l="0" t="0" r="0" b="0"/>
            <wp:docPr id="115" name="Obrázek 121" descr="A frenemy fungus provides clues about a new deadly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Obrázek 121" descr="A frenemy fungus provides clues about a new deadly one"/>
                    <pic:cNvPicPr>
                      <a:picLocks noChangeAspect="1" noChangeArrowheads="1"/>
                    </pic:cNvPicPr>
                  </pic:nvPicPr>
                  <pic:blipFill>
                    <a:blip r:embed="rId309"/>
                    <a:stretch>
                      <a:fillRect/>
                    </a:stretch>
                  </pic:blipFill>
                  <pic:spPr bwMode="auto">
                    <a:xfrm>
                      <a:off x="0" y="0"/>
                      <a:ext cx="1986915" cy="1325245"/>
                    </a:xfrm>
                    <a:prstGeom prst="rect">
                      <a:avLst/>
                    </a:prstGeom>
                  </pic:spPr>
                </pic:pic>
              </a:graphicData>
            </a:graphic>
          </wp:inline>
        </w:drawing>
      </w:r>
      <w:r>
        <w:rPr>
          <w:lang w:eastAsia="cs-CZ"/>
        </w:rPr>
        <w:t xml:space="preserve">               </w:t>
      </w:r>
      <w:r>
        <w:rPr>
          <w:noProof/>
          <w:lang w:eastAsia="cs-CZ"/>
        </w:rPr>
        <w:drawing>
          <wp:inline distT="0" distB="0" distL="0" distR="0">
            <wp:extent cx="1892300" cy="1307465"/>
            <wp:effectExtent l="0" t="0" r="0" b="0"/>
            <wp:docPr id="116" name="Obrázek 122" descr="46 Candida, Aspergillus, Pneumocystis, and Other Opportunistic Fungi |  Basicmedical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ázek 122" descr="46 Candida, Aspergillus, Pneumocystis, and Other Opportunistic Fungi |  Basicmedical Key"/>
                    <pic:cNvPicPr>
                      <a:picLocks noChangeAspect="1" noChangeArrowheads="1"/>
                    </pic:cNvPicPr>
                  </pic:nvPicPr>
                  <pic:blipFill>
                    <a:blip r:embed="rId310"/>
                    <a:stretch>
                      <a:fillRect/>
                    </a:stretch>
                  </pic:blipFill>
                  <pic:spPr bwMode="auto">
                    <a:xfrm>
                      <a:off x="0" y="0"/>
                      <a:ext cx="1892300" cy="1307465"/>
                    </a:xfrm>
                    <a:prstGeom prst="rect">
                      <a:avLst/>
                    </a:prstGeom>
                  </pic:spPr>
                </pic:pic>
              </a:graphicData>
            </a:graphic>
          </wp:inline>
        </w:drawing>
      </w:r>
    </w:p>
    <w:p w:rsidR="00287B1D" w:rsidRDefault="00287B1D">
      <w:pPr>
        <w:spacing w:after="0"/>
        <w:rPr>
          <w:sz w:val="18"/>
          <w:szCs w:val="18"/>
        </w:rPr>
      </w:pPr>
    </w:p>
    <w:p w:rsidR="00287B1D" w:rsidRDefault="00BB6CB9">
      <w:pPr>
        <w:spacing w:after="0"/>
        <w:rPr>
          <w:rFonts w:ascii="Segoe UI Black" w:hAnsi="Segoe UI Black"/>
          <w:sz w:val="14"/>
          <w:szCs w:val="14"/>
        </w:rPr>
      </w:pPr>
      <w:r>
        <w:rPr>
          <w:rFonts w:ascii="Segoe UI Black" w:hAnsi="Segoe UI Black"/>
          <w:sz w:val="14"/>
          <w:szCs w:val="14"/>
        </w:rPr>
        <w:t xml:space="preserve">                               Obr. ř) Candia </w:t>
      </w:r>
      <w:proofErr w:type="gramStart"/>
      <w:r>
        <w:rPr>
          <w:rFonts w:ascii="Segoe UI Black" w:hAnsi="Segoe UI Black"/>
          <w:sz w:val="14"/>
          <w:szCs w:val="14"/>
        </w:rPr>
        <w:t>Albicans                                                             Obr.</w:t>
      </w:r>
      <w:proofErr w:type="gramEnd"/>
      <w:r>
        <w:rPr>
          <w:rFonts w:ascii="Segoe UI Black" w:hAnsi="Segoe UI Black"/>
          <w:sz w:val="14"/>
          <w:szCs w:val="14"/>
        </w:rPr>
        <w:t xml:space="preserve"> s) Candia  Aspergillus</w:t>
      </w:r>
    </w:p>
    <w:p w:rsidR="00287B1D" w:rsidRDefault="00287B1D">
      <w:pPr>
        <w:spacing w:after="0"/>
        <w:rPr>
          <w:sz w:val="18"/>
          <w:szCs w:val="18"/>
        </w:rPr>
      </w:pPr>
    </w:p>
    <w:p w:rsidR="00287B1D" w:rsidRDefault="00BB6CB9">
      <w:pPr>
        <w:spacing w:after="0"/>
        <w:jc w:val="center"/>
        <w:rPr>
          <w:color w:val="FF0000"/>
          <w:sz w:val="18"/>
          <w:szCs w:val="18"/>
        </w:rPr>
      </w:pPr>
      <w:r>
        <w:rPr>
          <w:sz w:val="18"/>
          <w:szCs w:val="18"/>
        </w:rPr>
        <w:t xml:space="preserve">Houby </w:t>
      </w:r>
      <w:r>
        <w:rPr>
          <w:color w:val="FF0000"/>
          <w:sz w:val="18"/>
          <w:szCs w:val="18"/>
        </w:rPr>
        <w:t>(Candida, Aspergillus)</w:t>
      </w:r>
    </w:p>
    <w:p w:rsidR="00287B1D" w:rsidRDefault="00287B1D">
      <w:pPr>
        <w:spacing w:after="0"/>
        <w:jc w:val="center"/>
        <w:rPr>
          <w:color w:val="FF0000"/>
          <w:sz w:val="18"/>
          <w:szCs w:val="18"/>
        </w:rPr>
      </w:pPr>
    </w:p>
    <w:p w:rsidR="00287B1D" w:rsidRDefault="00BB6CB9">
      <w:pPr>
        <w:ind w:left="-426" w:right="283"/>
        <w:jc w:val="both"/>
        <w:rPr>
          <w:sz w:val="18"/>
          <w:szCs w:val="18"/>
        </w:rPr>
      </w:pPr>
      <w:r>
        <w:rPr>
          <w:b/>
          <w:i/>
          <w:sz w:val="18"/>
          <w:szCs w:val="18"/>
        </w:rPr>
        <w:t>Candida Albicans</w:t>
      </w:r>
      <w:r>
        <w:rPr>
          <w:sz w:val="18"/>
          <w:szCs w:val="18"/>
        </w:rPr>
        <w:t>, je druh </w:t>
      </w:r>
      <w:hyperlink r:id="rId311" w:tgtFrame="Kvasinky">
        <w:r>
          <w:rPr>
            <w:rStyle w:val="Internetovodkaz"/>
            <w:sz w:val="18"/>
            <w:szCs w:val="18"/>
          </w:rPr>
          <w:t>kvasinky</w:t>
        </w:r>
      </w:hyperlink>
      <w:r>
        <w:rPr>
          <w:sz w:val="18"/>
          <w:szCs w:val="18"/>
        </w:rPr>
        <w:t>, jenž někdy u lidí způsobuje ústní a genitální </w:t>
      </w:r>
      <w:hyperlink r:id="rId312" w:tgtFrame="Mykóza">
        <w:r>
          <w:rPr>
            <w:rStyle w:val="Internetovodkaz"/>
            <w:sz w:val="18"/>
            <w:szCs w:val="18"/>
          </w:rPr>
          <w:t>houbové infekce</w:t>
        </w:r>
      </w:hyperlink>
      <w:r>
        <w:rPr>
          <w:sz w:val="18"/>
          <w:szCs w:val="18"/>
        </w:rPr>
        <w:t xml:space="preserve">. Tato mykóza je zejména častou příčinou nemocí a úmrtí u osob se sníženou imunitou (vlivem AIDS, </w:t>
      </w:r>
      <w:proofErr w:type="gramStart"/>
      <w:r>
        <w:rPr>
          <w:sz w:val="18"/>
          <w:szCs w:val="18"/>
        </w:rPr>
        <w:t>chemoterapie,  transplantace</w:t>
      </w:r>
      <w:proofErr w:type="gramEnd"/>
      <w:r>
        <w:rPr>
          <w:sz w:val="18"/>
          <w:szCs w:val="18"/>
        </w:rPr>
        <w:t xml:space="preserve"> orgánů).</w:t>
      </w:r>
    </w:p>
    <w:p w:rsidR="00287B1D" w:rsidRDefault="00BB6CB9">
      <w:pPr>
        <w:ind w:left="-426" w:right="283"/>
        <w:rPr>
          <w:rFonts w:ascii="Arial" w:hAnsi="Arial" w:cs="Arial"/>
          <w:color w:val="202122"/>
          <w:sz w:val="21"/>
          <w:szCs w:val="21"/>
          <w:highlight w:val="white"/>
        </w:rPr>
      </w:pPr>
      <w:r>
        <w:rPr>
          <w:b/>
          <w:i/>
          <w:sz w:val="18"/>
          <w:szCs w:val="18"/>
        </w:rPr>
        <w:t>Candida Aspergillus</w:t>
      </w:r>
      <w:r>
        <w:rPr>
          <w:sz w:val="18"/>
          <w:szCs w:val="18"/>
        </w:rPr>
        <w:t>, některé druhy rodu  způsobují </w:t>
      </w:r>
      <w:hyperlink r:id="rId313" w:tgtFrame="Mykóza">
        <w:r>
          <w:rPr>
            <w:rStyle w:val="Internetovodkaz"/>
            <w:sz w:val="18"/>
            <w:szCs w:val="18"/>
          </w:rPr>
          <w:t>houbové infekční onemocnění</w:t>
        </w:r>
      </w:hyperlink>
      <w:r>
        <w:rPr>
          <w:sz w:val="18"/>
          <w:szCs w:val="18"/>
        </w:rPr>
        <w:t>, tzv. aspergilózu. Jednou skupinou nemocí způsobených tímto rodem jsou alergické reakce, zasahující především </w:t>
      </w:r>
      <w:hyperlink r:id="rId314" w:tgtFrame="Nosní dutina">
        <w:r>
          <w:rPr>
            <w:rStyle w:val="Internetovodkaz"/>
            <w:sz w:val="18"/>
            <w:szCs w:val="18"/>
          </w:rPr>
          <w:t>nosní dutiny</w:t>
        </w:r>
      </w:hyperlink>
      <w:r>
        <w:rPr>
          <w:sz w:val="18"/>
          <w:szCs w:val="18"/>
        </w:rPr>
        <w:t> a nižších dýchacích cest. Aspergillus </w:t>
      </w:r>
      <w:r>
        <w:rPr>
          <w:rFonts w:ascii="Arial" w:hAnsi="Arial" w:cs="Arial"/>
          <w:color w:val="202122"/>
          <w:sz w:val="21"/>
          <w:szCs w:val="21"/>
          <w:shd w:val="clear" w:color="auto" w:fill="FFFFFF"/>
        </w:rPr>
        <w:t>je </w:t>
      </w:r>
      <w:hyperlink r:id="rId315" w:tgtFrame="Oportunní patogen">
        <w:r>
          <w:rPr>
            <w:rStyle w:val="Internetovodkaz"/>
            <w:rFonts w:ascii="Arial" w:hAnsi="Arial" w:cs="Arial"/>
            <w:color w:val="0B0080"/>
            <w:sz w:val="21"/>
            <w:szCs w:val="21"/>
            <w:highlight w:val="white"/>
          </w:rPr>
          <w:t>oportunní patogen</w:t>
        </w:r>
      </w:hyperlink>
      <w:r>
        <w:rPr>
          <w:rFonts w:ascii="Arial" w:hAnsi="Arial" w:cs="Arial"/>
          <w:color w:val="202122"/>
          <w:sz w:val="21"/>
          <w:szCs w:val="21"/>
          <w:shd w:val="clear" w:color="auto" w:fill="FFFFFF"/>
        </w:rPr>
        <w:t xml:space="preserve">, </w:t>
      </w:r>
      <w:proofErr w:type="gramStart"/>
      <w:r>
        <w:rPr>
          <w:rFonts w:ascii="Arial" w:hAnsi="Arial" w:cs="Arial"/>
          <w:color w:val="202122"/>
          <w:sz w:val="21"/>
          <w:szCs w:val="21"/>
          <w:shd w:val="clear" w:color="auto" w:fill="FFFFFF"/>
        </w:rPr>
        <w:t>tzn.</w:t>
      </w:r>
      <w:proofErr w:type="gramEnd"/>
      <w:r>
        <w:rPr>
          <w:rFonts w:ascii="Arial" w:hAnsi="Arial" w:cs="Arial"/>
          <w:color w:val="202122"/>
          <w:sz w:val="21"/>
          <w:szCs w:val="21"/>
          <w:shd w:val="clear" w:color="auto" w:fill="FFFFFF"/>
        </w:rPr>
        <w:t xml:space="preserve"> aspergilóza </w:t>
      </w:r>
      <w:r>
        <w:rPr>
          <w:sz w:val="18"/>
          <w:szCs w:val="18"/>
        </w:rPr>
        <w:t xml:space="preserve">někdy </w:t>
      </w:r>
      <w:proofErr w:type="gramStart"/>
      <w:r>
        <w:rPr>
          <w:sz w:val="18"/>
          <w:szCs w:val="18"/>
        </w:rPr>
        <w:t>kolonizuje</w:t>
      </w:r>
      <w:proofErr w:type="gramEnd"/>
      <w:r>
        <w:rPr>
          <w:sz w:val="18"/>
          <w:szCs w:val="18"/>
        </w:rPr>
        <w:t xml:space="preserve"> i povrch </w:t>
      </w:r>
      <w:hyperlink r:id="rId316" w:tgtFrame="Pokožka (živočichové)">
        <w:r>
          <w:rPr>
            <w:rStyle w:val="Internetovodkaz"/>
            <w:sz w:val="18"/>
            <w:szCs w:val="18"/>
          </w:rPr>
          <w:t>pokožky</w:t>
        </w:r>
      </w:hyperlink>
      <w:r>
        <w:rPr>
          <w:sz w:val="18"/>
          <w:szCs w:val="18"/>
        </w:rPr>
        <w:t>. Někdy však dochází ke kolonizaci vnitřních</w:t>
      </w:r>
      <w:r>
        <w:rPr>
          <w:rFonts w:ascii="Arial" w:hAnsi="Arial" w:cs="Arial"/>
          <w:color w:val="202122"/>
          <w:sz w:val="21"/>
          <w:szCs w:val="21"/>
          <w:shd w:val="clear" w:color="auto" w:fill="FFFFFF"/>
        </w:rPr>
        <w:t xml:space="preserve"> prostor, nejčastěji v </w:t>
      </w:r>
      <w:hyperlink r:id="rId317" w:tgtFrame="Dýchací soustava">
        <w:r>
          <w:rPr>
            <w:rStyle w:val="Internetovodkaz"/>
            <w:rFonts w:ascii="Arial" w:hAnsi="Arial" w:cs="Arial"/>
            <w:color w:val="0B0080"/>
            <w:sz w:val="21"/>
            <w:szCs w:val="21"/>
            <w:highlight w:val="white"/>
          </w:rPr>
          <w:t>dýchací soustavě</w:t>
        </w:r>
      </w:hyperlink>
      <w:r>
        <w:rPr>
          <w:rFonts w:ascii="Arial" w:hAnsi="Arial" w:cs="Arial"/>
          <w:color w:val="202122"/>
          <w:sz w:val="21"/>
          <w:szCs w:val="21"/>
          <w:shd w:val="clear" w:color="auto" w:fill="FFFFFF"/>
        </w:rPr>
        <w:t>, kde u osob s </w:t>
      </w:r>
      <w:hyperlink r:id="rId318" w:tgtFrame="Imunodeficience">
        <w:r>
          <w:rPr>
            <w:rStyle w:val="Internetovodkaz"/>
            <w:rFonts w:ascii="Arial" w:hAnsi="Arial" w:cs="Arial"/>
            <w:color w:val="0B0080"/>
            <w:sz w:val="21"/>
            <w:szCs w:val="21"/>
            <w:highlight w:val="white"/>
          </w:rPr>
          <w:t>nízkou imunitou</w:t>
        </w:r>
      </w:hyperlink>
      <w:r>
        <w:rPr>
          <w:rFonts w:ascii="Arial" w:hAnsi="Arial" w:cs="Arial"/>
          <w:color w:val="202122"/>
          <w:sz w:val="21"/>
          <w:szCs w:val="21"/>
          <w:shd w:val="clear" w:color="auto" w:fill="FFFFFF"/>
        </w:rPr>
        <w:t> (imunosuprimovaných) může po diseminované infekci nastat i </w:t>
      </w:r>
      <w:hyperlink r:id="rId319" w:tgtFrame="Smrt">
        <w:r>
          <w:rPr>
            <w:rStyle w:val="Internetovodkaz"/>
            <w:rFonts w:ascii="Arial" w:hAnsi="Arial" w:cs="Arial"/>
            <w:color w:val="0B0080"/>
            <w:sz w:val="21"/>
            <w:szCs w:val="21"/>
            <w:highlight w:val="white"/>
          </w:rPr>
          <w:t>smrt</w:t>
        </w:r>
      </w:hyperlink>
      <w:r>
        <w:rPr>
          <w:rFonts w:ascii="Arial" w:hAnsi="Arial" w:cs="Arial"/>
          <w:color w:val="202122"/>
          <w:sz w:val="21"/>
          <w:szCs w:val="21"/>
          <w:shd w:val="clear" w:color="auto" w:fill="FFFFFF"/>
        </w:rPr>
        <w:t>. Nákaza je převážně vdechnutím.</w:t>
      </w:r>
    </w:p>
    <w:p w:rsidR="00287B1D" w:rsidRDefault="00287B1D">
      <w:pPr>
        <w:ind w:left="-426" w:right="283"/>
        <w:rPr>
          <w:rFonts w:ascii="Arial" w:hAnsi="Arial" w:cs="Arial"/>
          <w:color w:val="202122"/>
          <w:sz w:val="21"/>
          <w:szCs w:val="21"/>
          <w:highlight w:val="white"/>
        </w:rPr>
      </w:pPr>
    </w:p>
    <w:p w:rsidR="00287B1D" w:rsidRDefault="00BB6CB9">
      <w:pPr>
        <w:ind w:left="-426" w:right="283"/>
        <w:rPr>
          <w:rFonts w:cstheme="minorHAnsi"/>
          <w:sz w:val="14"/>
          <w:szCs w:val="14"/>
        </w:rPr>
      </w:pPr>
      <w:proofErr w:type="gramStart"/>
      <w:r>
        <w:rPr>
          <w:rFonts w:cstheme="minorHAnsi"/>
          <w:sz w:val="14"/>
          <w:szCs w:val="14"/>
        </w:rPr>
        <w:t>Obr.32</w:t>
      </w:r>
      <w:proofErr w:type="gramEnd"/>
      <w:r>
        <w:rPr>
          <w:rFonts w:cstheme="minorHAnsi"/>
          <w:sz w:val="14"/>
          <w:szCs w:val="14"/>
        </w:rPr>
        <w:t xml:space="preserve"> ř, s)  Sledované </w:t>
      </w:r>
      <w:r>
        <w:rPr>
          <w:sz w:val="14"/>
          <w:szCs w:val="14"/>
        </w:rPr>
        <w:t>Candii Albicans</w:t>
      </w:r>
      <w:r>
        <w:rPr>
          <w:rFonts w:cstheme="minorHAnsi"/>
          <w:sz w:val="14"/>
          <w:szCs w:val="14"/>
        </w:rPr>
        <w:t xml:space="preserve">,  </w:t>
      </w:r>
      <w:r>
        <w:rPr>
          <w:sz w:val="14"/>
          <w:szCs w:val="14"/>
        </w:rPr>
        <w:t xml:space="preserve">Candii  Aspergillus, </w:t>
      </w:r>
      <w:r>
        <w:rPr>
          <w:rFonts w:cstheme="minorHAnsi"/>
          <w:sz w:val="14"/>
          <w:szCs w:val="14"/>
        </w:rPr>
        <w:t>vyskytující se v kontaminované vodě, AQ3 Mini   zachytí, deaktivuje</w:t>
      </w:r>
    </w:p>
    <w:p w:rsidR="00287B1D" w:rsidRDefault="00287B1D">
      <w:pPr>
        <w:ind w:left="-426" w:right="283"/>
        <w:rPr>
          <w:rFonts w:ascii="Arial" w:hAnsi="Arial" w:cs="Arial"/>
          <w:color w:val="202122"/>
          <w:sz w:val="21"/>
          <w:szCs w:val="21"/>
          <w:highlight w:val="white"/>
        </w:rPr>
      </w:pPr>
    </w:p>
    <w:p w:rsidR="00287B1D" w:rsidRDefault="00BB6CB9">
      <w:pPr>
        <w:spacing w:after="0"/>
        <w:rPr>
          <w:color w:val="FF0000"/>
          <w:sz w:val="18"/>
          <w:szCs w:val="18"/>
        </w:rPr>
      </w:pPr>
      <w:r>
        <w:rPr>
          <w:noProof/>
          <w:lang w:eastAsia="cs-CZ"/>
        </w:rPr>
        <w:lastRenderedPageBreak/>
        <w:drawing>
          <wp:inline distT="0" distB="0" distL="0" distR="0">
            <wp:extent cx="2658745" cy="1781175"/>
            <wp:effectExtent l="0" t="0" r="0" b="0"/>
            <wp:docPr id="117" name="Obrázek 123" descr="Microscopic View Of Green Algae (Cladophora) Cells. Brightfield.. Stock  Photo, Picture And Royalty Free Image. Image 61099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Obrázek 123" descr="Microscopic View Of Green Algae (Cladophora) Cells. Brightfield.. Stock  Photo, Picture And Royalty Free Image. Image 61099956."/>
                    <pic:cNvPicPr>
                      <a:picLocks noChangeAspect="1" noChangeArrowheads="1"/>
                    </pic:cNvPicPr>
                  </pic:nvPicPr>
                  <pic:blipFill>
                    <a:blip r:embed="rId320"/>
                    <a:stretch>
                      <a:fillRect/>
                    </a:stretch>
                  </pic:blipFill>
                  <pic:spPr bwMode="auto">
                    <a:xfrm>
                      <a:off x="0" y="0"/>
                      <a:ext cx="2658745" cy="1781175"/>
                    </a:xfrm>
                    <a:prstGeom prst="rect">
                      <a:avLst/>
                    </a:prstGeom>
                  </pic:spPr>
                </pic:pic>
              </a:graphicData>
            </a:graphic>
          </wp:inline>
        </w:drawing>
      </w:r>
      <w:r>
        <w:rPr>
          <w:color w:val="FF0000"/>
          <w:sz w:val="18"/>
          <w:szCs w:val="18"/>
        </w:rPr>
        <w:t xml:space="preserve">                     </w:t>
      </w:r>
      <w:r>
        <w:rPr>
          <w:noProof/>
          <w:lang w:eastAsia="cs-CZ"/>
        </w:rPr>
        <w:drawing>
          <wp:inline distT="0" distB="0" distL="0" distR="0">
            <wp:extent cx="1739265" cy="1812925"/>
            <wp:effectExtent l="0" t="0" r="0" b="0"/>
            <wp:docPr id="118" name="Obrázek 125" descr="Zelená voda nerovná se sinice, mohou to být jen řasy - Vitali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Obrázek 125" descr="Zelená voda nerovná se sinice, mohou to být jen řasy - Vitalia.cz"/>
                    <pic:cNvPicPr>
                      <a:picLocks noChangeAspect="1" noChangeArrowheads="1"/>
                    </pic:cNvPicPr>
                  </pic:nvPicPr>
                  <pic:blipFill>
                    <a:blip r:embed="rId321"/>
                    <a:stretch>
                      <a:fillRect/>
                    </a:stretch>
                  </pic:blipFill>
                  <pic:spPr bwMode="auto">
                    <a:xfrm>
                      <a:off x="0" y="0"/>
                      <a:ext cx="1739265" cy="1812925"/>
                    </a:xfrm>
                    <a:prstGeom prst="rect">
                      <a:avLst/>
                    </a:prstGeom>
                  </pic:spPr>
                </pic:pic>
              </a:graphicData>
            </a:graphic>
          </wp:inline>
        </w:drawing>
      </w:r>
    </w:p>
    <w:p w:rsidR="00287B1D" w:rsidRDefault="00BB6CB9">
      <w:pPr>
        <w:spacing w:after="0"/>
        <w:rPr>
          <w:rFonts w:ascii="Segoe UI Black" w:hAnsi="Segoe UI Black" w:cs="Arial"/>
          <w:bCs/>
          <w:color w:val="202122"/>
          <w:sz w:val="14"/>
          <w:szCs w:val="14"/>
          <w:highlight w:val="white"/>
        </w:rPr>
      </w:pPr>
      <w:r>
        <w:rPr>
          <w:rFonts w:ascii="Segoe UI Black" w:hAnsi="Segoe UI Black" w:cs="Arial"/>
          <w:bCs/>
          <w:color w:val="202122"/>
          <w:sz w:val="14"/>
          <w:szCs w:val="14"/>
          <w:shd w:val="clear" w:color="auto" w:fill="FFFFFF"/>
        </w:rPr>
        <w:t xml:space="preserve">                           Obr. š) Zelená řasa ve </w:t>
      </w:r>
      <w:proofErr w:type="gramStart"/>
      <w:r>
        <w:rPr>
          <w:rFonts w:ascii="Segoe UI Black" w:hAnsi="Segoe UI Black" w:cs="Arial"/>
          <w:bCs/>
          <w:color w:val="202122"/>
          <w:sz w:val="14"/>
          <w:szCs w:val="14"/>
          <w:shd w:val="clear" w:color="auto" w:fill="FFFFFF"/>
        </w:rPr>
        <w:t>vodě                                                          Obr.</w:t>
      </w:r>
      <w:proofErr w:type="gramEnd"/>
      <w:r>
        <w:rPr>
          <w:rFonts w:ascii="Segoe UI Black" w:hAnsi="Segoe UI Black" w:cs="Arial"/>
          <w:bCs/>
          <w:color w:val="202122"/>
          <w:sz w:val="14"/>
          <w:szCs w:val="14"/>
          <w:shd w:val="clear" w:color="auto" w:fill="FFFFFF"/>
        </w:rPr>
        <w:t xml:space="preserve"> t) Rychlá zkouška na přítomnost  řasy a sinice</w:t>
      </w:r>
    </w:p>
    <w:p w:rsidR="00287B1D" w:rsidRDefault="00287B1D">
      <w:pPr>
        <w:spacing w:after="0"/>
        <w:rPr>
          <w:rFonts w:ascii="Arial" w:hAnsi="Arial" w:cs="Arial"/>
          <w:b/>
          <w:bCs/>
          <w:color w:val="202122"/>
          <w:sz w:val="21"/>
          <w:szCs w:val="21"/>
          <w:highlight w:val="white"/>
        </w:rPr>
      </w:pPr>
    </w:p>
    <w:p w:rsidR="00287B1D" w:rsidRDefault="00BB6CB9">
      <w:pPr>
        <w:spacing w:after="0"/>
        <w:jc w:val="center"/>
        <w:rPr>
          <w:rFonts w:ascii="Arial" w:hAnsi="Arial" w:cs="Arial"/>
          <w:bCs/>
          <w:color w:val="FF0000"/>
          <w:sz w:val="21"/>
          <w:szCs w:val="21"/>
          <w:highlight w:val="white"/>
        </w:rPr>
      </w:pPr>
      <w:r>
        <w:rPr>
          <w:rFonts w:ascii="Arial" w:hAnsi="Arial" w:cs="Arial"/>
          <w:bCs/>
          <w:color w:val="202122"/>
          <w:sz w:val="21"/>
          <w:szCs w:val="21"/>
          <w:shd w:val="clear" w:color="auto" w:fill="FFFFFF"/>
        </w:rPr>
        <w:t xml:space="preserve">Řasy </w:t>
      </w:r>
      <w:r>
        <w:rPr>
          <w:rFonts w:ascii="Arial" w:hAnsi="Arial" w:cs="Arial"/>
          <w:bCs/>
          <w:color w:val="FF0000"/>
          <w:sz w:val="21"/>
          <w:szCs w:val="21"/>
          <w:shd w:val="clear" w:color="auto" w:fill="FFFFFF"/>
        </w:rPr>
        <w:t>(Algae)</w:t>
      </w:r>
    </w:p>
    <w:p w:rsidR="00287B1D" w:rsidRDefault="00287B1D">
      <w:pPr>
        <w:spacing w:after="0"/>
        <w:jc w:val="center"/>
        <w:rPr>
          <w:rFonts w:ascii="Arial" w:hAnsi="Arial" w:cs="Arial"/>
          <w:b/>
          <w:bCs/>
          <w:color w:val="202122"/>
          <w:sz w:val="21"/>
          <w:szCs w:val="21"/>
          <w:highlight w:val="white"/>
        </w:rPr>
      </w:pPr>
    </w:p>
    <w:p w:rsidR="00287B1D" w:rsidRDefault="00BB6CB9">
      <w:pPr>
        <w:spacing w:after="0"/>
        <w:ind w:left="-426" w:right="283"/>
        <w:jc w:val="both"/>
        <w:rPr>
          <w:color w:val="FF0000"/>
          <w:sz w:val="18"/>
          <w:szCs w:val="18"/>
        </w:rPr>
      </w:pPr>
      <w:r>
        <w:rPr>
          <w:rFonts w:ascii="Arial" w:hAnsi="Arial" w:cs="Arial"/>
          <w:b/>
          <w:bCs/>
          <w:i/>
          <w:color w:val="202122"/>
          <w:sz w:val="21"/>
          <w:szCs w:val="21"/>
          <w:shd w:val="clear" w:color="auto" w:fill="FFFFFF"/>
        </w:rPr>
        <w:t xml:space="preserve">Řasy </w:t>
      </w:r>
      <w:r>
        <w:rPr>
          <w:rFonts w:ascii="Arial" w:hAnsi="Arial" w:cs="Arial"/>
          <w:b/>
          <w:bCs/>
          <w:color w:val="202122"/>
          <w:sz w:val="21"/>
          <w:szCs w:val="21"/>
          <w:shd w:val="clear" w:color="auto" w:fill="FFFFFF"/>
        </w:rPr>
        <w:t>(Algae),</w:t>
      </w:r>
      <w:r>
        <w:rPr>
          <w:rFonts w:ascii="Arial" w:hAnsi="Arial" w:cs="Arial"/>
          <w:color w:val="202122"/>
          <w:sz w:val="21"/>
          <w:szCs w:val="21"/>
          <w:shd w:val="clear" w:color="auto" w:fill="FFFFFF"/>
        </w:rPr>
        <w:t> jsou jednoduché </w:t>
      </w:r>
      <w:hyperlink r:id="rId322" w:tgtFrame="Fotosyntéza">
        <w:r>
          <w:rPr>
            <w:rStyle w:val="Internetovodkaz"/>
            <w:rFonts w:ascii="Arial" w:hAnsi="Arial" w:cs="Arial"/>
            <w:color w:val="0B0080"/>
            <w:sz w:val="21"/>
            <w:szCs w:val="21"/>
            <w:highlight w:val="white"/>
          </w:rPr>
          <w:t>fotosyntetizující</w:t>
        </w:r>
      </w:hyperlink>
      <w:r>
        <w:rPr>
          <w:rFonts w:ascii="Arial" w:hAnsi="Arial" w:cs="Arial"/>
          <w:color w:val="202122"/>
          <w:sz w:val="21"/>
          <w:szCs w:val="21"/>
          <w:shd w:val="clear" w:color="auto" w:fill="FFFFFF"/>
        </w:rPr>
        <w:t> organismy, tradičně řazené mezi </w:t>
      </w:r>
      <w:hyperlink r:id="rId323" w:tgtFrame="Nižší rostliny">
        <w:r>
          <w:rPr>
            <w:rStyle w:val="Internetovodkaz"/>
            <w:rFonts w:ascii="Arial" w:hAnsi="Arial" w:cs="Arial"/>
            <w:color w:val="0B0080"/>
            <w:sz w:val="21"/>
            <w:szCs w:val="21"/>
            <w:highlight w:val="white"/>
          </w:rPr>
          <w:t>nižší rostliny</w:t>
        </w:r>
      </w:hyperlink>
      <w:r>
        <w:rPr>
          <w:rFonts w:ascii="Arial" w:hAnsi="Arial" w:cs="Arial"/>
          <w:color w:val="202122"/>
          <w:sz w:val="21"/>
          <w:szCs w:val="21"/>
          <w:shd w:val="clear" w:color="auto" w:fill="FFFFFF"/>
        </w:rPr>
        <w:t>. Ve skutečnosti jsou řasy seskupením nepříbuzných skupin organismů a jen některé z nich jsou blízké rostlinám. Mezi řasami najdeme jednobuněčné i mnohobuněčné formy, tělo mnohobuněčných řas je tvořeno </w:t>
      </w:r>
      <w:hyperlink r:id="rId324" w:tgtFrame="Stélka">
        <w:r>
          <w:rPr>
            <w:rStyle w:val="Internetovodkaz"/>
            <w:rFonts w:ascii="Arial" w:hAnsi="Arial" w:cs="Arial"/>
            <w:color w:val="0B0080"/>
            <w:sz w:val="21"/>
            <w:szCs w:val="21"/>
            <w:highlight w:val="white"/>
          </w:rPr>
          <w:t>stélkou</w:t>
        </w:r>
      </w:hyperlink>
      <w:r>
        <w:rPr>
          <w:rFonts w:ascii="Arial" w:hAnsi="Arial" w:cs="Arial"/>
          <w:color w:val="202122"/>
          <w:sz w:val="21"/>
          <w:szCs w:val="21"/>
          <w:shd w:val="clear" w:color="auto" w:fill="FFFFFF"/>
        </w:rPr>
        <w:t xml:space="preserve">. Nejsou schopné přežít v suchém prostředí, </w:t>
      </w:r>
      <w:r>
        <w:rPr>
          <w:rFonts w:ascii="Arial" w:hAnsi="Arial" w:cs="Arial"/>
          <w:color w:val="FF0000"/>
          <w:sz w:val="21"/>
          <w:szCs w:val="21"/>
          <w:shd w:val="clear" w:color="auto" w:fill="FFFFFF"/>
        </w:rPr>
        <w:t>žijí proto ve sladké nebo slané vodě</w:t>
      </w:r>
      <w:r>
        <w:rPr>
          <w:rFonts w:ascii="Arial" w:hAnsi="Arial" w:cs="Arial"/>
          <w:color w:val="202122"/>
          <w:sz w:val="21"/>
          <w:szCs w:val="21"/>
          <w:shd w:val="clear" w:color="auto" w:fill="FFFFFF"/>
        </w:rPr>
        <w:t>.</w:t>
      </w:r>
    </w:p>
    <w:p w:rsidR="00287B1D" w:rsidRDefault="00BB6CB9">
      <w:pPr>
        <w:spacing w:line="240" w:lineRule="auto"/>
        <w:ind w:left="-426"/>
        <w:rPr>
          <w:sz w:val="18"/>
          <w:szCs w:val="18"/>
        </w:rPr>
      </w:pPr>
      <w:r>
        <w:rPr>
          <w:sz w:val="18"/>
          <w:szCs w:val="18"/>
        </w:rPr>
        <w:t xml:space="preserve">      </w:t>
      </w:r>
    </w:p>
    <w:p w:rsidR="00287B1D" w:rsidRDefault="00BB6CB9">
      <w:pPr>
        <w:spacing w:line="240" w:lineRule="auto"/>
        <w:ind w:left="-426"/>
        <w:rPr>
          <w:rFonts w:cstheme="minorHAnsi"/>
          <w:sz w:val="14"/>
          <w:szCs w:val="14"/>
        </w:rPr>
      </w:pPr>
      <w:r>
        <w:rPr>
          <w:sz w:val="18"/>
          <w:szCs w:val="18"/>
        </w:rPr>
        <w:t xml:space="preserve"> </w:t>
      </w:r>
      <w:proofErr w:type="gramStart"/>
      <w:r>
        <w:rPr>
          <w:rFonts w:cstheme="minorHAnsi"/>
          <w:sz w:val="14"/>
          <w:szCs w:val="14"/>
        </w:rPr>
        <w:t>Obr.33</w:t>
      </w:r>
      <w:proofErr w:type="gramEnd"/>
      <w:r>
        <w:rPr>
          <w:rFonts w:cstheme="minorHAnsi"/>
          <w:sz w:val="14"/>
          <w:szCs w:val="14"/>
        </w:rPr>
        <w:t xml:space="preserve"> š, t) Sledované Řasy (Algae) vyskytující se v kontaminované vodě, AQ3 Mini   zachytí, deaktivuje</w:t>
      </w:r>
    </w:p>
    <w:p w:rsidR="00287B1D" w:rsidRDefault="00287B1D">
      <w:pPr>
        <w:ind w:left="-426"/>
        <w:rPr>
          <w:sz w:val="18"/>
          <w:szCs w:val="18"/>
        </w:rPr>
      </w:pPr>
    </w:p>
    <w:p w:rsidR="00287B1D" w:rsidRDefault="00BB6CB9">
      <w:pPr>
        <w:rPr>
          <w:rFonts w:ascii="Arial" w:hAnsi="Arial" w:cs="Arial"/>
          <w:b/>
          <w:sz w:val="21"/>
          <w:szCs w:val="21"/>
          <w:highlight w:val="white"/>
        </w:rPr>
      </w:pPr>
      <w:r>
        <w:rPr>
          <w:lang w:eastAsia="cs-CZ"/>
        </w:rPr>
        <w:t xml:space="preserve"> </w:t>
      </w:r>
      <w:r>
        <w:rPr>
          <w:noProof/>
          <w:lang w:eastAsia="cs-CZ"/>
        </w:rPr>
        <w:drawing>
          <wp:inline distT="0" distB="0" distL="0" distR="0">
            <wp:extent cx="1790065" cy="1340485"/>
            <wp:effectExtent l="0" t="0" r="0" b="0"/>
            <wp:docPr id="119" name="Obrázek 96" descr="alternativní popis obrázku chyb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Obrázek 96" descr="alternativní popis obrázku chybí"/>
                    <pic:cNvPicPr>
                      <a:picLocks noChangeAspect="1" noChangeArrowheads="1"/>
                    </pic:cNvPicPr>
                  </pic:nvPicPr>
                  <pic:blipFill>
                    <a:blip r:embed="rId325"/>
                    <a:stretch>
                      <a:fillRect/>
                    </a:stretch>
                  </pic:blipFill>
                  <pic:spPr bwMode="auto">
                    <a:xfrm>
                      <a:off x="0" y="0"/>
                      <a:ext cx="1790065" cy="1340485"/>
                    </a:xfrm>
                    <a:prstGeom prst="rect">
                      <a:avLst/>
                    </a:prstGeom>
                  </pic:spPr>
                </pic:pic>
              </a:graphicData>
            </a:graphic>
          </wp:inline>
        </w:drawing>
      </w:r>
      <w:r>
        <w:rPr>
          <w:lang w:eastAsia="cs-CZ"/>
        </w:rPr>
        <w:t xml:space="preserve"> </w:t>
      </w:r>
      <w:r>
        <w:rPr>
          <w:rFonts w:ascii="Arial" w:hAnsi="Arial" w:cs="Arial"/>
          <w:b/>
          <w:sz w:val="21"/>
          <w:szCs w:val="21"/>
          <w:shd w:val="clear" w:color="auto" w:fill="FFFFFF"/>
        </w:rPr>
        <w:t xml:space="preserve"> </w:t>
      </w:r>
      <w:r>
        <w:rPr>
          <w:noProof/>
          <w:lang w:eastAsia="cs-CZ"/>
        </w:rPr>
        <w:drawing>
          <wp:inline distT="0" distB="0" distL="0" distR="0">
            <wp:extent cx="2075815" cy="1335405"/>
            <wp:effectExtent l="0" t="0" r="0" b="0"/>
            <wp:docPr id="120" name="Obrázek 97" descr="https://upload.wikimedia.org/wikipedia/commons/thumb/b/b4/Scheme_eutrophication_cs.svg/440px-Scheme_eutrophication_c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Obrázek 97" descr="https://upload.wikimedia.org/wikipedia/commons/thumb/b/b4/Scheme_eutrophication_cs.svg/440px-Scheme_eutrophication_cs.svg.png"/>
                    <pic:cNvPicPr>
                      <a:picLocks noChangeAspect="1" noChangeArrowheads="1"/>
                    </pic:cNvPicPr>
                  </pic:nvPicPr>
                  <pic:blipFill>
                    <a:blip r:embed="rId326"/>
                    <a:stretch>
                      <a:fillRect/>
                    </a:stretch>
                  </pic:blipFill>
                  <pic:spPr bwMode="auto">
                    <a:xfrm>
                      <a:off x="0" y="0"/>
                      <a:ext cx="2075815" cy="1335405"/>
                    </a:xfrm>
                    <a:prstGeom prst="rect">
                      <a:avLst/>
                    </a:prstGeom>
                  </pic:spPr>
                </pic:pic>
              </a:graphicData>
            </a:graphic>
          </wp:inline>
        </w:drawing>
      </w:r>
      <w:r>
        <w:rPr>
          <w:rFonts w:ascii="Arial" w:hAnsi="Arial" w:cs="Arial"/>
          <w:b/>
          <w:sz w:val="21"/>
          <w:szCs w:val="21"/>
          <w:shd w:val="clear" w:color="auto" w:fill="FFFFFF"/>
        </w:rPr>
        <w:t xml:space="preserve"> </w:t>
      </w:r>
      <w:r>
        <w:t xml:space="preserve"> </w:t>
      </w:r>
      <w:r>
        <w:rPr>
          <w:noProof/>
          <w:lang w:eastAsia="cs-CZ"/>
        </w:rPr>
        <w:drawing>
          <wp:inline distT="0" distB="0" distL="0" distR="0">
            <wp:extent cx="1772285" cy="1330325"/>
            <wp:effectExtent l="0" t="0" r="0" b="0"/>
            <wp:docPr id="121" name="Obrázek 98" descr="https://upload.wikimedia.org/wikipedia/commons/4/44/Anabaenaspiroides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Obrázek 98" descr="https://upload.wikimedia.org/wikipedia/commons/4/44/Anabaenaspiroides_EPA.jpg"/>
                    <pic:cNvPicPr>
                      <a:picLocks noChangeAspect="1" noChangeArrowheads="1"/>
                    </pic:cNvPicPr>
                  </pic:nvPicPr>
                  <pic:blipFill>
                    <a:blip r:embed="rId327"/>
                    <a:stretch>
                      <a:fillRect/>
                    </a:stretch>
                  </pic:blipFill>
                  <pic:spPr bwMode="auto">
                    <a:xfrm>
                      <a:off x="0" y="0"/>
                      <a:ext cx="1772285" cy="1330325"/>
                    </a:xfrm>
                    <a:prstGeom prst="rect">
                      <a:avLst/>
                    </a:prstGeom>
                  </pic:spPr>
                </pic:pic>
              </a:graphicData>
            </a:graphic>
          </wp:inline>
        </w:drawing>
      </w:r>
    </w:p>
    <w:p w:rsidR="00287B1D" w:rsidRDefault="00BB6CB9">
      <w:pPr>
        <w:rPr>
          <w:rFonts w:ascii="Segoe UI Black" w:hAnsi="Segoe UI Black" w:cs="Arial"/>
          <w:sz w:val="14"/>
          <w:szCs w:val="14"/>
          <w:highlight w:val="white"/>
        </w:rPr>
      </w:pPr>
      <w:proofErr w:type="gramStart"/>
      <w:r>
        <w:rPr>
          <w:rFonts w:ascii="Segoe UI Black" w:hAnsi="Segoe UI Black" w:cs="Arial"/>
          <w:sz w:val="14"/>
          <w:szCs w:val="14"/>
          <w:shd w:val="clear" w:color="auto" w:fill="FFFFFF"/>
        </w:rPr>
        <w:t xml:space="preserve">Obr.ť)  </w:t>
      </w:r>
      <w:r>
        <w:rPr>
          <w:rFonts w:ascii="Segoe UI Black" w:hAnsi="Segoe UI Black" w:cs="Arial"/>
          <w:color w:val="202122"/>
          <w:sz w:val="14"/>
          <w:szCs w:val="14"/>
          <w:shd w:val="clear" w:color="auto" w:fill="FFFFFF"/>
        </w:rPr>
        <w:t>Sinice</w:t>
      </w:r>
      <w:proofErr w:type="gramEnd"/>
      <w:r>
        <w:rPr>
          <w:rFonts w:ascii="Segoe UI Black" w:hAnsi="Segoe UI Black" w:cs="Arial"/>
          <w:color w:val="202122"/>
          <w:sz w:val="14"/>
          <w:szCs w:val="14"/>
          <w:shd w:val="clear" w:color="auto" w:fill="FFFFFF"/>
        </w:rPr>
        <w:t xml:space="preserve"> (Anabaena flos-aquae</w:t>
      </w:r>
      <w:r>
        <w:rPr>
          <w:rFonts w:ascii="Segoe UI Black" w:hAnsi="Segoe UI Black" w:cs="Arial"/>
          <w:sz w:val="14"/>
          <w:szCs w:val="14"/>
          <w:shd w:val="clear" w:color="auto" w:fill="FFFFFF"/>
        </w:rPr>
        <w:t>)           Obr. u) Nepřirozená, umělá eutrofizace*               Obr. v) Sinice (</w:t>
      </w:r>
      <w:hyperlink r:id="rId328" w:tgtFrame="Anabaena spiroides (stránka neexistuje)">
        <w:r>
          <w:rPr>
            <w:rStyle w:val="Internetovodkaz"/>
            <w:rFonts w:ascii="Segoe UI Black" w:hAnsi="Segoe UI Black" w:cs="Arial"/>
            <w:iCs/>
            <w:color w:val="000000"/>
            <w:sz w:val="14"/>
            <w:szCs w:val="14"/>
            <w:highlight w:val="white"/>
            <w:u w:val="none"/>
          </w:rPr>
          <w:t>Anabaena spiroides</w:t>
        </w:r>
      </w:hyperlink>
      <w:r>
        <w:rPr>
          <w:rFonts w:ascii="Segoe UI Black" w:hAnsi="Segoe UI Black" w:cs="Arial"/>
          <w:iCs/>
          <w:sz w:val="14"/>
          <w:szCs w:val="14"/>
          <w:shd w:val="clear" w:color="auto" w:fill="FFFFFF"/>
        </w:rPr>
        <w:t>)</w:t>
      </w:r>
    </w:p>
    <w:p w:rsidR="00287B1D" w:rsidRDefault="00BB6CB9">
      <w:pPr>
        <w:jc w:val="center"/>
        <w:rPr>
          <w:rFonts w:ascii="Arial" w:hAnsi="Arial" w:cs="Arial"/>
          <w:sz w:val="21"/>
          <w:szCs w:val="21"/>
          <w:highlight w:val="white"/>
        </w:rPr>
      </w:pPr>
      <w:r>
        <w:rPr>
          <w:rFonts w:ascii="Arial" w:hAnsi="Arial" w:cs="Arial"/>
          <w:sz w:val="21"/>
          <w:szCs w:val="21"/>
          <w:shd w:val="clear" w:color="auto" w:fill="FFFFFF"/>
        </w:rPr>
        <w:t xml:space="preserve">Sinice </w:t>
      </w:r>
      <w:r>
        <w:rPr>
          <w:rFonts w:ascii="Arial" w:hAnsi="Arial" w:cs="Arial"/>
          <w:color w:val="FF0000"/>
          <w:sz w:val="21"/>
          <w:szCs w:val="21"/>
          <w:shd w:val="clear" w:color="auto" w:fill="FFFFFF"/>
        </w:rPr>
        <w:t>(Cyanobacteria)</w:t>
      </w:r>
    </w:p>
    <w:p w:rsidR="00287B1D" w:rsidRDefault="00BB6CB9">
      <w:pPr>
        <w:ind w:left="-426"/>
        <w:jc w:val="both"/>
        <w:rPr>
          <w:rFonts w:ascii="Arial" w:hAnsi="Arial" w:cs="Arial"/>
          <w:sz w:val="21"/>
          <w:szCs w:val="21"/>
          <w:highlight w:val="white"/>
        </w:rPr>
      </w:pPr>
      <w:r>
        <w:rPr>
          <w:rFonts w:ascii="Arial" w:hAnsi="Arial" w:cs="Arial"/>
          <w:b/>
          <w:i/>
          <w:sz w:val="21"/>
          <w:szCs w:val="21"/>
          <w:shd w:val="clear" w:color="auto" w:fill="FFFFFF"/>
        </w:rPr>
        <w:t xml:space="preserve">Sinice </w:t>
      </w:r>
      <w:r>
        <w:rPr>
          <w:rFonts w:ascii="Arial" w:hAnsi="Arial" w:cs="Arial"/>
          <w:b/>
          <w:sz w:val="21"/>
          <w:szCs w:val="21"/>
          <w:shd w:val="clear" w:color="auto" w:fill="FFFFFF"/>
        </w:rPr>
        <w:t>(</w:t>
      </w:r>
      <w:r>
        <w:rPr>
          <w:rFonts w:ascii="Arial" w:hAnsi="Arial" w:cs="Arial"/>
          <w:b/>
          <w:color w:val="202124"/>
          <w:sz w:val="21"/>
          <w:szCs w:val="21"/>
          <w:shd w:val="clear" w:color="auto" w:fill="FFFFFF"/>
        </w:rPr>
        <w:t>Cyanobacteria),</w:t>
      </w:r>
      <w:r>
        <w:rPr>
          <w:rFonts w:ascii="Arial" w:hAnsi="Arial" w:cs="Arial"/>
          <w:color w:val="202124"/>
          <w:sz w:val="21"/>
          <w:szCs w:val="21"/>
          <w:shd w:val="clear" w:color="auto" w:fill="FFFFFF"/>
        </w:rPr>
        <w:t xml:space="preserve"> </w:t>
      </w:r>
      <w:r>
        <w:rPr>
          <w:rFonts w:ascii="Arial" w:hAnsi="Arial" w:cs="Arial"/>
          <w:sz w:val="21"/>
          <w:szCs w:val="21"/>
          <w:shd w:val="clear" w:color="auto" w:fill="FFFFFF"/>
        </w:rPr>
        <w:t xml:space="preserve">je kmen nebo oddělení </w:t>
      </w:r>
      <w:r>
        <w:rPr>
          <w:rFonts w:ascii="Arial" w:hAnsi="Arial" w:cs="Arial"/>
          <w:color w:val="3333CC"/>
          <w:sz w:val="21"/>
          <w:szCs w:val="21"/>
          <w:shd w:val="clear" w:color="auto" w:fill="FFFFFF"/>
        </w:rPr>
        <w:t>gramnegativních bakterií</w:t>
      </w:r>
      <w:r>
        <w:rPr>
          <w:rFonts w:ascii="Arial" w:hAnsi="Arial" w:cs="Arial"/>
          <w:sz w:val="21"/>
          <w:szCs w:val="21"/>
          <w:shd w:val="clear" w:color="auto" w:fill="FFFFFF"/>
        </w:rPr>
        <w:t>. Vyznačují se schopností fotosyntézy, při níž vzniká kyslík. Český název této skupiny pochází ze slova siný, tedy tmavě modrý. Sinice jsou jednobuněčné, zpravidla však žijí v koloniích tvaru kokálních shluků či vláknitých stélek.</w:t>
      </w:r>
    </w:p>
    <w:p w:rsidR="00287B1D" w:rsidRDefault="00BB6CB9">
      <w:pPr>
        <w:ind w:left="-426"/>
        <w:jc w:val="both"/>
        <w:rPr>
          <w:rFonts w:ascii="Arial" w:hAnsi="Arial" w:cs="Arial"/>
          <w:color w:val="202122"/>
          <w:sz w:val="21"/>
          <w:szCs w:val="21"/>
          <w:highlight w:val="white"/>
        </w:rPr>
      </w:pPr>
      <w:r>
        <w:rPr>
          <w:rFonts w:ascii="Arial" w:hAnsi="Arial" w:cs="Arial"/>
          <w:color w:val="202122"/>
          <w:sz w:val="21"/>
          <w:szCs w:val="21"/>
          <w:shd w:val="clear" w:color="auto" w:fill="FFFFFF"/>
        </w:rPr>
        <w:t>Vyskytují se velmi hojně ve </w:t>
      </w:r>
      <w:hyperlink r:id="rId329" w:tgtFrame="Voda">
        <w:r>
          <w:rPr>
            <w:rStyle w:val="Internetovodkaz"/>
            <w:rFonts w:ascii="Arial" w:hAnsi="Arial" w:cs="Arial"/>
            <w:color w:val="FF0000"/>
            <w:sz w:val="21"/>
            <w:szCs w:val="21"/>
            <w:highlight w:val="white"/>
          </w:rPr>
          <w:t>vodním</w:t>
        </w:r>
      </w:hyperlink>
      <w:r>
        <w:rPr>
          <w:rFonts w:ascii="Arial" w:hAnsi="Arial" w:cs="Arial"/>
          <w:color w:val="FF0000"/>
          <w:sz w:val="21"/>
          <w:szCs w:val="21"/>
          <w:shd w:val="clear" w:color="auto" w:fill="FFFFFF"/>
        </w:rPr>
        <w:t> </w:t>
      </w:r>
      <w:r>
        <w:rPr>
          <w:rFonts w:ascii="Arial" w:hAnsi="Arial" w:cs="Arial"/>
          <w:color w:val="202122"/>
          <w:sz w:val="21"/>
          <w:szCs w:val="21"/>
          <w:shd w:val="clear" w:color="auto" w:fill="FFFFFF"/>
        </w:rPr>
        <w:t>prostředí, ale i v </w:t>
      </w:r>
      <w:hyperlink r:id="rId330" w:tgtFrame="Půda">
        <w:r>
          <w:rPr>
            <w:rStyle w:val="Internetovodkaz"/>
            <w:rFonts w:ascii="Arial" w:hAnsi="Arial" w:cs="Arial"/>
            <w:color w:val="0B0080"/>
            <w:sz w:val="21"/>
            <w:szCs w:val="21"/>
            <w:highlight w:val="white"/>
          </w:rPr>
          <w:t>půdě</w:t>
        </w:r>
      </w:hyperlink>
      <w:r>
        <w:rPr>
          <w:rFonts w:ascii="Arial" w:hAnsi="Arial" w:cs="Arial"/>
          <w:color w:val="202122"/>
          <w:sz w:val="21"/>
          <w:szCs w:val="21"/>
          <w:shd w:val="clear" w:color="auto" w:fill="FFFFFF"/>
        </w:rPr>
        <w:t> a mnohdy také v </w:t>
      </w:r>
      <w:hyperlink r:id="rId331" w:tgtFrame="Extrémofil">
        <w:r>
          <w:rPr>
            <w:rStyle w:val="Internetovodkaz"/>
            <w:rFonts w:ascii="Arial" w:hAnsi="Arial" w:cs="Arial"/>
            <w:color w:val="0B0080"/>
            <w:sz w:val="21"/>
            <w:szCs w:val="21"/>
            <w:highlight w:val="white"/>
          </w:rPr>
          <w:t>extrémních</w:t>
        </w:r>
      </w:hyperlink>
      <w:r>
        <w:rPr>
          <w:rFonts w:ascii="Arial" w:hAnsi="Arial" w:cs="Arial"/>
          <w:color w:val="202122"/>
          <w:sz w:val="21"/>
          <w:szCs w:val="21"/>
          <w:shd w:val="clear" w:color="auto" w:fill="FFFFFF"/>
        </w:rPr>
        <w:t> podmínkách, jako jsou </w:t>
      </w:r>
      <w:hyperlink r:id="rId332" w:tgtFrame="Poušť">
        <w:r>
          <w:rPr>
            <w:rStyle w:val="Internetovodkaz"/>
            <w:rFonts w:ascii="Arial" w:hAnsi="Arial" w:cs="Arial"/>
            <w:color w:val="0B0080"/>
            <w:sz w:val="21"/>
            <w:szCs w:val="21"/>
            <w:highlight w:val="white"/>
          </w:rPr>
          <w:t>pouště</w:t>
        </w:r>
      </w:hyperlink>
      <w:r>
        <w:rPr>
          <w:rFonts w:ascii="Arial" w:hAnsi="Arial" w:cs="Arial"/>
          <w:color w:val="202122"/>
          <w:sz w:val="21"/>
          <w:szCs w:val="21"/>
          <w:shd w:val="clear" w:color="auto" w:fill="FFFFFF"/>
        </w:rPr>
        <w:t> či </w:t>
      </w:r>
      <w:hyperlink r:id="rId333" w:tgtFrame="Polární oblast">
        <w:r>
          <w:rPr>
            <w:rStyle w:val="Internetovodkaz"/>
            <w:rFonts w:ascii="Arial" w:hAnsi="Arial" w:cs="Arial"/>
            <w:color w:val="0B0080"/>
            <w:sz w:val="21"/>
            <w:szCs w:val="21"/>
            <w:highlight w:val="white"/>
          </w:rPr>
          <w:t>polární oblasti</w:t>
        </w:r>
      </w:hyperlink>
      <w:r>
        <w:rPr>
          <w:rFonts w:ascii="Arial" w:hAnsi="Arial" w:cs="Arial"/>
          <w:color w:val="202122"/>
          <w:sz w:val="21"/>
          <w:szCs w:val="21"/>
          <w:shd w:val="clear" w:color="auto" w:fill="FFFFFF"/>
        </w:rPr>
        <w:t>. Velmi často také vstupují do </w:t>
      </w:r>
      <w:hyperlink r:id="rId334" w:tgtFrame="Symbióza">
        <w:r>
          <w:rPr>
            <w:rStyle w:val="Internetovodkaz"/>
            <w:rFonts w:ascii="Arial" w:hAnsi="Arial" w:cs="Arial"/>
            <w:color w:val="0B0080"/>
            <w:sz w:val="21"/>
            <w:szCs w:val="21"/>
            <w:highlight w:val="white"/>
          </w:rPr>
          <w:t>symbiotických vztahů</w:t>
        </w:r>
      </w:hyperlink>
      <w:r>
        <w:rPr>
          <w:rFonts w:ascii="Arial" w:hAnsi="Arial" w:cs="Arial"/>
          <w:color w:val="202122"/>
          <w:sz w:val="21"/>
          <w:szCs w:val="21"/>
          <w:shd w:val="clear" w:color="auto" w:fill="FFFFFF"/>
        </w:rPr>
        <w:t>. Vyjma </w:t>
      </w:r>
      <w:hyperlink r:id="rId335" w:tgtFrame="Endosymbióza">
        <w:r>
          <w:rPr>
            <w:rStyle w:val="Internetovodkaz"/>
            <w:rFonts w:ascii="Arial" w:hAnsi="Arial" w:cs="Arial"/>
            <w:color w:val="0B0080"/>
            <w:sz w:val="21"/>
            <w:szCs w:val="21"/>
            <w:highlight w:val="white"/>
          </w:rPr>
          <w:t>endosymbioticky</w:t>
        </w:r>
      </w:hyperlink>
      <w:r>
        <w:rPr>
          <w:rFonts w:ascii="Arial" w:hAnsi="Arial" w:cs="Arial"/>
          <w:color w:val="202122"/>
          <w:sz w:val="21"/>
          <w:szCs w:val="21"/>
          <w:shd w:val="clear" w:color="auto" w:fill="FFFFFF"/>
        </w:rPr>
        <w:t> vzniklých </w:t>
      </w:r>
      <w:hyperlink r:id="rId336" w:tgtFrame="Plastid">
        <w:r>
          <w:rPr>
            <w:rStyle w:val="Internetovodkaz"/>
            <w:rFonts w:ascii="Arial" w:hAnsi="Arial" w:cs="Arial"/>
            <w:color w:val="0B0080"/>
            <w:sz w:val="21"/>
            <w:szCs w:val="21"/>
            <w:highlight w:val="white"/>
          </w:rPr>
          <w:t>plastidů</w:t>
        </w:r>
      </w:hyperlink>
      <w:r>
        <w:rPr>
          <w:rFonts w:ascii="Arial" w:hAnsi="Arial" w:cs="Arial"/>
          <w:color w:val="202122"/>
          <w:sz w:val="21"/>
          <w:szCs w:val="21"/>
          <w:shd w:val="clear" w:color="auto" w:fill="FFFFFF"/>
        </w:rPr>
        <w:t> je možné se setkat s mnoha případy, kdy sinice pomáhají svému hostiteli fixovat </w:t>
      </w:r>
      <w:hyperlink r:id="rId337" w:tgtFrame="Dusík">
        <w:r>
          <w:rPr>
            <w:rStyle w:val="Internetovodkaz"/>
            <w:rFonts w:ascii="Arial" w:hAnsi="Arial" w:cs="Arial"/>
            <w:color w:val="0B0080"/>
            <w:sz w:val="21"/>
            <w:szCs w:val="21"/>
            <w:highlight w:val="white"/>
          </w:rPr>
          <w:t>dusík</w:t>
        </w:r>
      </w:hyperlink>
      <w:r>
        <w:rPr>
          <w:rFonts w:ascii="Arial" w:hAnsi="Arial" w:cs="Arial"/>
          <w:color w:val="202122"/>
          <w:sz w:val="21"/>
          <w:szCs w:val="21"/>
          <w:shd w:val="clear" w:color="auto" w:fill="FFFFFF"/>
        </w:rPr>
        <w:t> či </w:t>
      </w:r>
      <w:hyperlink r:id="rId338" w:tgtFrame="Uhlík">
        <w:r>
          <w:rPr>
            <w:rStyle w:val="Internetovodkaz"/>
            <w:rFonts w:ascii="Arial" w:hAnsi="Arial" w:cs="Arial"/>
            <w:color w:val="0B0080"/>
            <w:sz w:val="21"/>
            <w:szCs w:val="21"/>
            <w:highlight w:val="white"/>
          </w:rPr>
          <w:t>uhlík</w:t>
        </w:r>
      </w:hyperlink>
      <w:r>
        <w:rPr>
          <w:rFonts w:ascii="Arial" w:hAnsi="Arial" w:cs="Arial"/>
          <w:color w:val="202122"/>
          <w:sz w:val="21"/>
          <w:szCs w:val="21"/>
          <w:shd w:val="clear" w:color="auto" w:fill="FFFFFF"/>
        </w:rPr>
        <w:t>.</w:t>
      </w:r>
    </w:p>
    <w:p w:rsidR="00287B1D" w:rsidRDefault="00BB6CB9">
      <w:pPr>
        <w:pStyle w:val="Normlnweb"/>
        <w:shd w:val="clear" w:color="auto" w:fill="FFFFFF"/>
        <w:spacing w:before="120" w:beforeAutospacing="0" w:after="120" w:afterAutospacing="0"/>
        <w:ind w:left="-426"/>
        <w:jc w:val="both"/>
        <w:rPr>
          <w:rFonts w:ascii="Arial" w:hAnsi="Arial" w:cs="Arial"/>
          <w:b/>
          <w:bCs/>
          <w:color w:val="202122"/>
          <w:sz w:val="21"/>
          <w:szCs w:val="21"/>
        </w:rPr>
      </w:pPr>
      <w:r>
        <w:rPr>
          <w:rFonts w:ascii="Arial" w:hAnsi="Arial" w:cs="Arial"/>
          <w:color w:val="202122"/>
          <w:sz w:val="21"/>
          <w:szCs w:val="21"/>
          <w:shd w:val="clear" w:color="auto" w:fill="FFFFFF"/>
        </w:rPr>
        <w:t>U sinic jsou známy i jejich </w:t>
      </w:r>
      <w:hyperlink r:id="rId339" w:tgtFrame="Virus">
        <w:r>
          <w:rPr>
            <w:rStyle w:val="Internetovodkaz"/>
            <w:rFonts w:ascii="Arial" w:hAnsi="Arial" w:cs="Arial"/>
            <w:color w:val="0B0080"/>
            <w:sz w:val="21"/>
            <w:szCs w:val="21"/>
            <w:highlight w:val="white"/>
          </w:rPr>
          <w:t>virové</w:t>
        </w:r>
      </w:hyperlink>
      <w:r>
        <w:rPr>
          <w:rFonts w:ascii="Arial" w:hAnsi="Arial" w:cs="Arial"/>
          <w:color w:val="202122"/>
          <w:sz w:val="21"/>
          <w:szCs w:val="21"/>
          <w:shd w:val="clear" w:color="auto" w:fill="FFFFFF"/>
        </w:rPr>
        <w:t> patogeny, tzv. </w:t>
      </w:r>
      <w:hyperlink r:id="rId340" w:tgtFrame="Cyanofág">
        <w:r>
          <w:rPr>
            <w:rStyle w:val="Internetovodkaz"/>
            <w:rFonts w:ascii="Arial" w:hAnsi="Arial" w:cs="Arial"/>
            <w:color w:val="0B0080"/>
            <w:sz w:val="21"/>
            <w:szCs w:val="21"/>
            <w:highlight w:val="white"/>
          </w:rPr>
          <w:t>cyanofágy</w:t>
        </w:r>
      </w:hyperlink>
      <w:r>
        <w:rPr>
          <w:rFonts w:ascii="Arial" w:hAnsi="Arial" w:cs="Arial"/>
          <w:color w:val="202122"/>
          <w:sz w:val="21"/>
          <w:szCs w:val="21"/>
          <w:shd w:val="clear" w:color="auto" w:fill="FFFFFF"/>
        </w:rPr>
        <w:t>, jejichž genetickým materiálem je zásadně dvouvláknová </w:t>
      </w:r>
      <w:hyperlink r:id="rId341" w:tgtFrame="DNA">
        <w:r>
          <w:rPr>
            <w:rStyle w:val="Internetovodkaz"/>
            <w:rFonts w:ascii="Arial" w:hAnsi="Arial" w:cs="Arial"/>
            <w:color w:val="0B0080"/>
            <w:sz w:val="21"/>
            <w:szCs w:val="21"/>
            <w:highlight w:val="white"/>
          </w:rPr>
          <w:t>DNA</w:t>
        </w:r>
      </w:hyperlink>
      <w:r>
        <w:rPr>
          <w:rFonts w:ascii="Arial" w:hAnsi="Arial" w:cs="Arial"/>
          <w:color w:val="202122"/>
          <w:sz w:val="21"/>
          <w:szCs w:val="21"/>
          <w:shd w:val="clear" w:color="auto" w:fill="FFFFFF"/>
        </w:rPr>
        <w:t xml:space="preserve">. Známými </w:t>
      </w:r>
      <w:r>
        <w:rPr>
          <w:rFonts w:ascii="Arial" w:hAnsi="Arial" w:cs="Arial"/>
          <w:color w:val="FF0000"/>
          <w:sz w:val="21"/>
          <w:szCs w:val="21"/>
          <w:shd w:val="clear" w:color="auto" w:fill="FFFFFF"/>
        </w:rPr>
        <w:t>viry</w:t>
      </w:r>
      <w:r>
        <w:rPr>
          <w:rFonts w:ascii="Arial" w:hAnsi="Arial" w:cs="Arial"/>
          <w:color w:val="202122"/>
          <w:sz w:val="21"/>
          <w:szCs w:val="21"/>
          <w:shd w:val="clear" w:color="auto" w:fill="FFFFFF"/>
        </w:rPr>
        <w:t xml:space="preserve"> jsou např. </w:t>
      </w:r>
      <w:r>
        <w:rPr>
          <w:rFonts w:ascii="Arial" w:hAnsi="Arial" w:cs="Arial"/>
          <w:color w:val="FF0000"/>
          <w:sz w:val="21"/>
          <w:szCs w:val="21"/>
          <w:shd w:val="clear" w:color="auto" w:fill="FFFFFF"/>
        </w:rPr>
        <w:t>sladkovodní</w:t>
      </w:r>
      <w:r>
        <w:rPr>
          <w:rFonts w:ascii="Arial" w:hAnsi="Arial" w:cs="Arial"/>
          <w:color w:val="202122"/>
          <w:sz w:val="21"/>
          <w:szCs w:val="21"/>
          <w:shd w:val="clear" w:color="auto" w:fill="FFFFFF"/>
        </w:rPr>
        <w:t> </w:t>
      </w:r>
      <w:hyperlink r:id="rId342" w:tgtFrame="As-1 (stránka neexistuje)">
        <w:r>
          <w:rPr>
            <w:rStyle w:val="Internetovodkaz"/>
            <w:rFonts w:ascii="Arial" w:hAnsi="Arial" w:cs="Arial"/>
            <w:color w:val="A55858"/>
            <w:sz w:val="21"/>
            <w:szCs w:val="21"/>
            <w:highlight w:val="white"/>
          </w:rPr>
          <w:t>as-1</w:t>
        </w:r>
      </w:hyperlink>
      <w:r>
        <w:rPr>
          <w:rFonts w:ascii="Arial" w:hAnsi="Arial" w:cs="Arial"/>
          <w:color w:val="202122"/>
          <w:sz w:val="21"/>
          <w:szCs w:val="21"/>
          <w:shd w:val="clear" w:color="auto" w:fill="FFFFFF"/>
        </w:rPr>
        <w:t> a </w:t>
      </w:r>
      <w:hyperlink r:id="rId343" w:tgtFrame="Lpp-1 (stránka neexistuje)">
        <w:r>
          <w:rPr>
            <w:rStyle w:val="Internetovodkaz"/>
            <w:rFonts w:ascii="Arial" w:hAnsi="Arial" w:cs="Arial"/>
            <w:color w:val="A55858"/>
            <w:sz w:val="21"/>
            <w:szCs w:val="21"/>
            <w:highlight w:val="white"/>
          </w:rPr>
          <w:t>lpp-1</w:t>
        </w:r>
      </w:hyperlink>
      <w:r>
        <w:rPr>
          <w:rFonts w:ascii="Arial" w:hAnsi="Arial" w:cs="Arial"/>
          <w:color w:val="202122"/>
          <w:sz w:val="21"/>
          <w:szCs w:val="21"/>
          <w:shd w:val="clear" w:color="auto" w:fill="FFFFFF"/>
        </w:rPr>
        <w:t>. Viry významně ovlivňují početnost sinic, některé průzkumy například objevily viry v téměř všech studovaných populací sinic. Ekologické výzkumy v oceánu také ukazují, že u pobřeží mají sinice rodu </w:t>
      </w:r>
      <w:hyperlink r:id="rId344" w:tgtFrame="Synechococcus">
        <w:r>
          <w:rPr>
            <w:rStyle w:val="Internetovodkaz"/>
            <w:rFonts w:ascii="Arial" w:hAnsi="Arial" w:cs="Arial"/>
            <w:i/>
            <w:iCs/>
            <w:color w:val="0B0080"/>
            <w:sz w:val="21"/>
            <w:szCs w:val="21"/>
            <w:highlight w:val="white"/>
          </w:rPr>
          <w:t>Synechococcus</w:t>
        </w:r>
      </w:hyperlink>
      <w:r>
        <w:rPr>
          <w:rFonts w:ascii="Arial" w:hAnsi="Arial" w:cs="Arial"/>
          <w:color w:val="202122"/>
          <w:sz w:val="21"/>
          <w:szCs w:val="21"/>
          <w:shd w:val="clear" w:color="auto" w:fill="FFFFFF"/>
        </w:rPr>
        <w:t> daleko vyšší </w:t>
      </w:r>
      <w:hyperlink r:id="rId345" w:tgtFrame="Rezistence (epidemiologie) (stránka neexistuje)">
        <w:r>
          <w:rPr>
            <w:rStyle w:val="Internetovodkaz"/>
            <w:rFonts w:ascii="Arial" w:hAnsi="Arial" w:cs="Arial"/>
            <w:color w:val="A55858"/>
            <w:sz w:val="21"/>
            <w:szCs w:val="21"/>
            <w:highlight w:val="white"/>
          </w:rPr>
          <w:t>rezistenci</w:t>
        </w:r>
      </w:hyperlink>
      <w:r>
        <w:rPr>
          <w:rFonts w:ascii="Arial" w:hAnsi="Arial" w:cs="Arial"/>
          <w:color w:val="202122"/>
          <w:sz w:val="21"/>
          <w:szCs w:val="21"/>
          <w:shd w:val="clear" w:color="auto" w:fill="FFFFFF"/>
        </w:rPr>
        <w:t> vůči svým virům, protože se s nimi na mělčině častěji setkávají a </w:t>
      </w:r>
      <w:hyperlink r:id="rId346" w:tgtFrame="Přirozený výběr">
        <w:r>
          <w:rPr>
            <w:rStyle w:val="Internetovodkaz"/>
            <w:rFonts w:ascii="Arial" w:hAnsi="Arial" w:cs="Arial"/>
            <w:color w:val="0B0080"/>
            <w:sz w:val="21"/>
            <w:szCs w:val="21"/>
            <w:highlight w:val="white"/>
          </w:rPr>
          <w:t>přírodní výběr</w:t>
        </w:r>
      </w:hyperlink>
      <w:r>
        <w:rPr>
          <w:rFonts w:ascii="Arial" w:hAnsi="Arial" w:cs="Arial"/>
          <w:color w:val="202122"/>
          <w:sz w:val="21"/>
          <w:szCs w:val="21"/>
          <w:shd w:val="clear" w:color="auto" w:fill="FFFFFF"/>
        </w:rPr>
        <w:t> zde tedy působí daleko silněji.</w:t>
      </w:r>
      <w:r>
        <w:rPr>
          <w:rFonts w:ascii="Arial" w:hAnsi="Arial" w:cs="Arial"/>
          <w:b/>
          <w:bCs/>
          <w:color w:val="202122"/>
          <w:sz w:val="21"/>
          <w:szCs w:val="21"/>
        </w:rPr>
        <w:t xml:space="preserve"> </w:t>
      </w:r>
    </w:p>
    <w:p w:rsidR="00287B1D" w:rsidRDefault="00287B1D">
      <w:pPr>
        <w:pStyle w:val="Normlnweb"/>
        <w:shd w:val="clear" w:color="auto" w:fill="FFFFFF"/>
        <w:spacing w:before="120" w:beforeAutospacing="0" w:after="120" w:afterAutospacing="0"/>
        <w:ind w:left="-426"/>
        <w:jc w:val="both"/>
        <w:rPr>
          <w:rFonts w:ascii="Arial" w:hAnsi="Arial" w:cs="Arial"/>
          <w:b/>
          <w:bCs/>
          <w:i/>
          <w:color w:val="202122"/>
          <w:sz w:val="21"/>
          <w:szCs w:val="21"/>
        </w:rPr>
      </w:pPr>
    </w:p>
    <w:p w:rsidR="00287B1D" w:rsidRDefault="00BB6CB9">
      <w:pPr>
        <w:pStyle w:val="Normlnweb"/>
        <w:shd w:val="clear" w:color="auto" w:fill="FFFFFF"/>
        <w:spacing w:before="120" w:beforeAutospacing="0" w:after="120" w:afterAutospacing="0"/>
        <w:ind w:left="-426"/>
        <w:jc w:val="both"/>
        <w:rPr>
          <w:rFonts w:ascii="Arial" w:hAnsi="Arial" w:cs="Arial"/>
          <w:color w:val="202122"/>
          <w:sz w:val="21"/>
          <w:szCs w:val="21"/>
        </w:rPr>
      </w:pPr>
      <w:proofErr w:type="gramStart"/>
      <w:r>
        <w:rPr>
          <w:rFonts w:ascii="Arial" w:hAnsi="Arial" w:cs="Arial"/>
          <w:b/>
          <w:bCs/>
          <w:i/>
          <w:color w:val="202122"/>
          <w:sz w:val="21"/>
          <w:szCs w:val="21"/>
        </w:rPr>
        <w:lastRenderedPageBreak/>
        <w:t>Eutrofizace</w:t>
      </w:r>
      <w:r>
        <w:rPr>
          <w:rFonts w:ascii="Arial" w:hAnsi="Arial" w:cs="Arial"/>
          <w:color w:val="202122"/>
          <w:sz w:val="21"/>
          <w:szCs w:val="21"/>
        </w:rPr>
        <w:t>,* je</w:t>
      </w:r>
      <w:proofErr w:type="gramEnd"/>
      <w:r>
        <w:rPr>
          <w:rFonts w:ascii="Arial" w:hAnsi="Arial" w:cs="Arial"/>
          <w:color w:val="202122"/>
          <w:sz w:val="21"/>
          <w:szCs w:val="21"/>
        </w:rPr>
        <w:t xml:space="preserve"> proces obohacování </w:t>
      </w:r>
      <w:r>
        <w:rPr>
          <w:rFonts w:ascii="Arial" w:hAnsi="Arial" w:cs="Arial"/>
          <w:color w:val="FF0000"/>
          <w:sz w:val="21"/>
          <w:szCs w:val="21"/>
        </w:rPr>
        <w:t>vod</w:t>
      </w:r>
      <w:r>
        <w:rPr>
          <w:rFonts w:ascii="Arial" w:hAnsi="Arial" w:cs="Arial"/>
          <w:color w:val="202122"/>
          <w:sz w:val="21"/>
          <w:szCs w:val="21"/>
        </w:rPr>
        <w:t xml:space="preserve"> o </w:t>
      </w:r>
      <w:hyperlink r:id="rId347" w:tgtFrame="Živina">
        <w:r>
          <w:rPr>
            <w:rStyle w:val="Internetovodkaz"/>
            <w:rFonts w:ascii="Arial" w:hAnsi="Arial" w:cs="Arial"/>
            <w:color w:val="0B0080"/>
            <w:sz w:val="21"/>
            <w:szCs w:val="21"/>
          </w:rPr>
          <w:t>živiny</w:t>
        </w:r>
      </w:hyperlink>
      <w:r>
        <w:rPr>
          <w:rFonts w:ascii="Arial" w:hAnsi="Arial" w:cs="Arial"/>
          <w:color w:val="202122"/>
          <w:sz w:val="21"/>
          <w:szCs w:val="21"/>
        </w:rPr>
        <w:t>, zejména </w:t>
      </w:r>
      <w:hyperlink r:id="rId348" w:tgtFrame="Dusík">
        <w:r>
          <w:rPr>
            <w:rStyle w:val="Internetovodkaz"/>
            <w:rFonts w:ascii="Arial" w:hAnsi="Arial" w:cs="Arial"/>
            <w:color w:val="0B0080"/>
            <w:sz w:val="21"/>
            <w:szCs w:val="21"/>
          </w:rPr>
          <w:t>dusík</w:t>
        </w:r>
      </w:hyperlink>
      <w:r>
        <w:rPr>
          <w:rFonts w:ascii="Arial" w:hAnsi="Arial" w:cs="Arial"/>
          <w:color w:val="202122"/>
          <w:sz w:val="21"/>
          <w:szCs w:val="21"/>
        </w:rPr>
        <w:t> a </w:t>
      </w:r>
      <w:hyperlink r:id="rId349" w:tgtFrame="Fosfor">
        <w:r>
          <w:rPr>
            <w:rStyle w:val="Internetovodkaz"/>
            <w:rFonts w:ascii="Arial" w:hAnsi="Arial" w:cs="Arial"/>
            <w:color w:val="0B0080"/>
            <w:sz w:val="21"/>
            <w:szCs w:val="21"/>
          </w:rPr>
          <w:t>fosfor</w:t>
        </w:r>
      </w:hyperlink>
      <w:r>
        <w:rPr>
          <w:rFonts w:ascii="Arial" w:hAnsi="Arial" w:cs="Arial"/>
          <w:color w:val="202122"/>
          <w:sz w:val="21"/>
          <w:szCs w:val="21"/>
        </w:rPr>
        <w:t xml:space="preserve">. Rozlišujeme </w:t>
      </w:r>
    </w:p>
    <w:p w:rsidR="00287B1D" w:rsidRDefault="00BB6CB9">
      <w:pPr>
        <w:pStyle w:val="Normlnweb"/>
        <w:numPr>
          <w:ilvl w:val="0"/>
          <w:numId w:val="19"/>
        </w:numPr>
        <w:shd w:val="clear" w:color="auto" w:fill="FFFFFF"/>
        <w:spacing w:before="120" w:beforeAutospacing="0" w:after="0" w:afterAutospacing="0"/>
        <w:jc w:val="both"/>
        <w:rPr>
          <w:rFonts w:ascii="Arial" w:hAnsi="Arial" w:cs="Arial"/>
          <w:color w:val="202122"/>
          <w:sz w:val="21"/>
          <w:szCs w:val="21"/>
        </w:rPr>
      </w:pPr>
      <w:r>
        <w:rPr>
          <w:rFonts w:ascii="Arial" w:hAnsi="Arial" w:cs="Arial"/>
          <w:color w:val="202122"/>
          <w:sz w:val="21"/>
          <w:szCs w:val="21"/>
        </w:rPr>
        <w:t xml:space="preserve">přirozenou eutrofizaci (jejímž hlavním zdrojem je výplach těchto živin z půdy a rozklad mrtvých organismů) a </w:t>
      </w:r>
    </w:p>
    <w:p w:rsidR="00287B1D" w:rsidRDefault="00BB6CB9">
      <w:pPr>
        <w:pStyle w:val="Normlnweb"/>
        <w:numPr>
          <w:ilvl w:val="0"/>
          <w:numId w:val="19"/>
        </w:numPr>
        <w:shd w:val="clear" w:color="auto" w:fill="FFFFFF"/>
        <w:spacing w:before="120" w:beforeAutospacing="0" w:after="120" w:afterAutospacing="0"/>
        <w:jc w:val="both"/>
        <w:rPr>
          <w:rFonts w:ascii="Arial" w:hAnsi="Arial" w:cs="Arial"/>
          <w:color w:val="202122"/>
          <w:sz w:val="21"/>
          <w:szCs w:val="21"/>
        </w:rPr>
      </w:pPr>
      <w:r>
        <w:rPr>
          <w:rFonts w:ascii="Arial" w:hAnsi="Arial" w:cs="Arial"/>
          <w:color w:val="202122"/>
          <w:sz w:val="21"/>
          <w:szCs w:val="21"/>
        </w:rPr>
        <w:t>nepřirozenou, nadměrnou eutrofizaci způsobenou lidskou činností.</w:t>
      </w:r>
    </w:p>
    <w:p w:rsidR="00287B1D" w:rsidRDefault="00BB6CB9">
      <w:pPr>
        <w:pStyle w:val="Normlnweb"/>
        <w:shd w:val="clear" w:color="auto" w:fill="FFFFFF"/>
        <w:spacing w:before="120" w:beforeAutospacing="0" w:after="120" w:afterAutospacing="0"/>
        <w:ind w:left="-426"/>
        <w:jc w:val="both"/>
        <w:rPr>
          <w:rFonts w:ascii="Arial" w:hAnsi="Arial" w:cs="Arial"/>
          <w:color w:val="202122"/>
          <w:sz w:val="21"/>
          <w:szCs w:val="21"/>
        </w:rPr>
      </w:pPr>
      <w:r>
        <w:rPr>
          <w:rFonts w:ascii="Arial" w:hAnsi="Arial" w:cs="Arial"/>
          <w:color w:val="202122"/>
          <w:sz w:val="21"/>
          <w:szCs w:val="21"/>
        </w:rPr>
        <w:t>Dusíkaté látky a fosfáty způsobující nepřirozenou eutrofizaci často pocházejí z </w:t>
      </w:r>
      <w:hyperlink r:id="rId350" w:tgtFrame="Hnojivo">
        <w:r>
          <w:rPr>
            <w:rStyle w:val="Internetovodkaz"/>
            <w:rFonts w:ascii="Arial" w:hAnsi="Arial" w:cs="Arial"/>
            <w:color w:val="0B0080"/>
            <w:sz w:val="21"/>
            <w:szCs w:val="21"/>
          </w:rPr>
          <w:t>hnojiv</w:t>
        </w:r>
      </w:hyperlink>
      <w:r>
        <w:rPr>
          <w:rFonts w:ascii="Arial" w:hAnsi="Arial" w:cs="Arial"/>
          <w:color w:val="202122"/>
          <w:sz w:val="21"/>
          <w:szCs w:val="21"/>
        </w:rPr>
        <w:t xml:space="preserve"> používaných v zemědělském sektoru a </w:t>
      </w:r>
      <w:r>
        <w:rPr>
          <w:rFonts w:ascii="Arial" w:hAnsi="Arial" w:cs="Arial"/>
          <w:color w:val="FF0000"/>
          <w:sz w:val="21"/>
          <w:szCs w:val="21"/>
        </w:rPr>
        <w:t>dešti splavovaných do vodních toků</w:t>
      </w:r>
      <w:r>
        <w:rPr>
          <w:rFonts w:ascii="Arial" w:hAnsi="Arial" w:cs="Arial"/>
          <w:color w:val="202122"/>
          <w:sz w:val="21"/>
          <w:szCs w:val="21"/>
        </w:rPr>
        <w:t xml:space="preserve">, existují však i jiné signifikantní zdroje (u fosforu třeba některé prací prostředky, </w:t>
      </w:r>
      <w:r>
        <w:rPr>
          <w:rFonts w:ascii="Arial" w:hAnsi="Arial" w:cs="Arial"/>
          <w:color w:val="FF0000"/>
          <w:sz w:val="21"/>
          <w:szCs w:val="21"/>
        </w:rPr>
        <w:t>přicházející do řek kanalizací</w:t>
      </w:r>
      <w:r>
        <w:rPr>
          <w:rFonts w:ascii="Arial" w:hAnsi="Arial" w:cs="Arial"/>
          <w:color w:val="202122"/>
          <w:sz w:val="21"/>
          <w:szCs w:val="21"/>
        </w:rPr>
        <w:t>).</w:t>
      </w:r>
    </w:p>
    <w:p w:rsidR="00287B1D" w:rsidRDefault="00BB6CB9">
      <w:pPr>
        <w:pStyle w:val="Normlnweb"/>
        <w:shd w:val="clear" w:color="auto" w:fill="FFFFFF"/>
        <w:spacing w:before="120" w:beforeAutospacing="0" w:after="120" w:afterAutospacing="0"/>
        <w:ind w:left="-426"/>
        <w:jc w:val="both"/>
        <w:rPr>
          <w:rFonts w:ascii="Arial" w:hAnsi="Arial" w:cs="Arial"/>
          <w:color w:val="202122"/>
          <w:sz w:val="21"/>
          <w:szCs w:val="21"/>
        </w:rPr>
      </w:pPr>
      <w:r>
        <w:rPr>
          <w:rFonts w:ascii="Arial" w:hAnsi="Arial" w:cs="Arial"/>
          <w:color w:val="202122"/>
          <w:sz w:val="21"/>
          <w:szCs w:val="21"/>
        </w:rPr>
        <w:t>Důsledkem je nejprve přemnožení </w:t>
      </w:r>
      <w:hyperlink r:id="rId351" w:tgtFrame="Plankton">
        <w:r>
          <w:rPr>
            <w:rStyle w:val="Internetovodkaz"/>
            <w:rFonts w:ascii="Arial" w:hAnsi="Arial" w:cs="Arial"/>
            <w:color w:val="0B0080"/>
            <w:sz w:val="21"/>
            <w:szCs w:val="21"/>
          </w:rPr>
          <w:t>planktonu</w:t>
        </w:r>
      </w:hyperlink>
      <w:r>
        <w:rPr>
          <w:rFonts w:ascii="Arial" w:hAnsi="Arial" w:cs="Arial"/>
          <w:color w:val="202122"/>
          <w:sz w:val="21"/>
          <w:szCs w:val="21"/>
        </w:rPr>
        <w:t xml:space="preserve"> a také </w:t>
      </w:r>
      <w:r>
        <w:rPr>
          <w:rFonts w:ascii="Arial" w:hAnsi="Arial" w:cs="Arial"/>
          <w:color w:val="FF0000"/>
          <w:sz w:val="21"/>
          <w:szCs w:val="21"/>
        </w:rPr>
        <w:t xml:space="preserve">sinic </w:t>
      </w:r>
      <w:r>
        <w:rPr>
          <w:rFonts w:ascii="Arial" w:hAnsi="Arial" w:cs="Arial"/>
          <w:color w:val="202122"/>
          <w:sz w:val="21"/>
          <w:szCs w:val="21"/>
        </w:rPr>
        <w:t>(</w:t>
      </w:r>
      <w:hyperlink r:id="rId352" w:tgtFrame="Vodní květ">
        <w:r>
          <w:rPr>
            <w:rStyle w:val="Internetovodkaz"/>
            <w:rFonts w:ascii="Arial" w:hAnsi="Arial" w:cs="Arial"/>
            <w:color w:val="0B0080"/>
            <w:sz w:val="21"/>
            <w:szCs w:val="21"/>
          </w:rPr>
          <w:t>vodní květ</w:t>
        </w:r>
      </w:hyperlink>
      <w:r>
        <w:rPr>
          <w:rFonts w:ascii="Arial" w:hAnsi="Arial" w:cs="Arial"/>
          <w:color w:val="202122"/>
          <w:sz w:val="21"/>
          <w:szCs w:val="21"/>
        </w:rPr>
        <w:t>) a posléze, po masovém odumření se projeví nedostatek </w:t>
      </w:r>
      <w:hyperlink r:id="rId353" w:tgtFrame="Kyslík">
        <w:r>
          <w:rPr>
            <w:rStyle w:val="Internetovodkaz"/>
            <w:rFonts w:ascii="Arial" w:hAnsi="Arial" w:cs="Arial"/>
            <w:color w:val="0B0080"/>
            <w:sz w:val="21"/>
            <w:szCs w:val="21"/>
          </w:rPr>
          <w:t>kyslíku</w:t>
        </w:r>
      </w:hyperlink>
      <w:r>
        <w:rPr>
          <w:rFonts w:ascii="Arial" w:hAnsi="Arial" w:cs="Arial"/>
          <w:color w:val="202122"/>
          <w:sz w:val="21"/>
          <w:szCs w:val="21"/>
        </w:rPr>
        <w:t> </w:t>
      </w:r>
      <w:r>
        <w:rPr>
          <w:rFonts w:ascii="Arial" w:hAnsi="Arial" w:cs="Arial"/>
          <w:color w:val="FF0000"/>
          <w:sz w:val="21"/>
          <w:szCs w:val="21"/>
        </w:rPr>
        <w:t xml:space="preserve">ve vodě </w:t>
      </w:r>
      <w:r>
        <w:rPr>
          <w:rFonts w:ascii="Arial" w:hAnsi="Arial" w:cs="Arial"/>
          <w:color w:val="202122"/>
          <w:sz w:val="21"/>
          <w:szCs w:val="21"/>
        </w:rPr>
        <w:t>(zejména u dna, kde ho odebírá tlení hmoty) a následné </w:t>
      </w:r>
      <w:hyperlink r:id="rId354" w:tgtFrame="Vymírání">
        <w:r>
          <w:rPr>
            <w:rStyle w:val="Internetovodkaz"/>
            <w:rFonts w:ascii="Arial" w:hAnsi="Arial" w:cs="Arial"/>
            <w:color w:val="0B0080"/>
            <w:sz w:val="21"/>
            <w:szCs w:val="21"/>
          </w:rPr>
          <w:t>vymírání</w:t>
        </w:r>
      </w:hyperlink>
      <w:r>
        <w:rPr>
          <w:rFonts w:ascii="Arial" w:hAnsi="Arial" w:cs="Arial"/>
          <w:color w:val="202122"/>
          <w:sz w:val="21"/>
          <w:szCs w:val="21"/>
        </w:rPr>
        <w:t> </w:t>
      </w:r>
      <w:hyperlink r:id="rId355" w:tgtFrame="Ryby">
        <w:r>
          <w:rPr>
            <w:rStyle w:val="Internetovodkaz"/>
            <w:rFonts w:ascii="Arial" w:hAnsi="Arial" w:cs="Arial"/>
            <w:color w:val="0B0080"/>
            <w:sz w:val="21"/>
            <w:szCs w:val="21"/>
          </w:rPr>
          <w:t>ryb</w:t>
        </w:r>
      </w:hyperlink>
      <w:r>
        <w:rPr>
          <w:rFonts w:ascii="Arial" w:hAnsi="Arial" w:cs="Arial"/>
          <w:color w:val="202122"/>
          <w:sz w:val="21"/>
          <w:szCs w:val="21"/>
        </w:rPr>
        <w:t> a dalších organismů, zejména těch žijících (toxické látky pocházející ze sinic, dekompozitorů a rozkládajících se organismů, mohou však v extrémním případě působit na většinu či celou rybí populaci i další organismy v potravním řetězci). Přístupu kyslíku do spodních vrstev brání pyknoklina – vrstva oddělující vodu s odlišnou hustotou.</w:t>
      </w:r>
    </w:p>
    <w:p w:rsidR="00287B1D" w:rsidRDefault="00BB6CB9">
      <w:pPr>
        <w:spacing w:line="240" w:lineRule="auto"/>
        <w:ind w:left="-426"/>
        <w:rPr>
          <w:rFonts w:cstheme="minorHAnsi"/>
          <w:sz w:val="14"/>
          <w:szCs w:val="14"/>
        </w:rPr>
      </w:pPr>
      <w:proofErr w:type="gramStart"/>
      <w:r>
        <w:rPr>
          <w:rFonts w:cstheme="minorHAnsi"/>
          <w:sz w:val="14"/>
          <w:szCs w:val="14"/>
        </w:rPr>
        <w:t>Obr.34</w:t>
      </w:r>
      <w:proofErr w:type="gramEnd"/>
      <w:r>
        <w:rPr>
          <w:rFonts w:cstheme="minorHAnsi"/>
          <w:sz w:val="14"/>
          <w:szCs w:val="14"/>
        </w:rPr>
        <w:t xml:space="preserve"> ť, u, v) Sledované Sinice, vyskytující se v kontaminované vodě, AQ3 Mini   zachytí, deaktivuje</w:t>
      </w:r>
    </w:p>
    <w:p w:rsidR="00287B1D" w:rsidRDefault="00287B1D">
      <w:pPr>
        <w:pStyle w:val="Normlnweb"/>
        <w:shd w:val="clear" w:color="auto" w:fill="FFFFFF"/>
        <w:spacing w:before="120" w:beforeAutospacing="0" w:after="120" w:afterAutospacing="0"/>
        <w:rPr>
          <w:rFonts w:ascii="Arial" w:hAnsi="Arial" w:cs="Arial"/>
          <w:color w:val="202122"/>
          <w:sz w:val="21"/>
          <w:szCs w:val="21"/>
        </w:rPr>
      </w:pPr>
    </w:p>
    <w:p w:rsidR="00287B1D" w:rsidRDefault="00BB6CB9">
      <w:pPr>
        <w:ind w:right="283"/>
        <w:jc w:val="center"/>
      </w:pPr>
      <w:r>
        <w:rPr>
          <w:noProof/>
          <w:lang w:eastAsia="cs-CZ"/>
        </w:rPr>
        <w:drawing>
          <wp:inline distT="0" distB="0" distL="0" distR="0">
            <wp:extent cx="5086350" cy="2089150"/>
            <wp:effectExtent l="0" t="0" r="0" b="0"/>
            <wp:docPr id="122" name="Graf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6"/>
              </a:graphicData>
            </a:graphic>
          </wp:inline>
        </w:drawing>
      </w:r>
    </w:p>
    <w:p w:rsidR="00287B1D" w:rsidRDefault="00BB6CB9">
      <w:pPr>
        <w:rPr>
          <w:sz w:val="14"/>
          <w:szCs w:val="14"/>
        </w:rPr>
      </w:pPr>
      <w:proofErr w:type="gramStart"/>
      <w:r>
        <w:rPr>
          <w:sz w:val="14"/>
          <w:szCs w:val="14"/>
        </w:rPr>
        <w:t>Obr.35</w:t>
      </w:r>
      <w:proofErr w:type="gramEnd"/>
      <w:r>
        <w:rPr>
          <w:sz w:val="14"/>
          <w:szCs w:val="14"/>
        </w:rPr>
        <w:t xml:space="preserve">; </w:t>
      </w:r>
      <w:proofErr w:type="gramStart"/>
      <w:r>
        <w:rPr>
          <w:sz w:val="14"/>
          <w:szCs w:val="14"/>
        </w:rPr>
        <w:t>Graf.13</w:t>
      </w:r>
      <w:proofErr w:type="gramEnd"/>
      <w:r>
        <w:rPr>
          <w:sz w:val="14"/>
          <w:szCs w:val="14"/>
        </w:rPr>
        <w:t xml:space="preserve"> Závislost koncentrace vápníku v mg/l, na vodivosti vody v µS/cm, lze upravit pomocí variantních balíčků  a doupravit pomocí iontové optimalizace dle přání klienta. Tvrdost by měla být minimálně 1 mmol/l, optimálně 2 mmol/l, dle vyhlášky č. 252/2004 Sb. až 3,5 mmol/l. viz Obr. 23, Tab. 2</w:t>
      </w:r>
    </w:p>
    <w:p w:rsidR="00287B1D" w:rsidRDefault="00287B1D">
      <w:pPr>
        <w:rPr>
          <w:sz w:val="14"/>
          <w:szCs w:val="14"/>
        </w:rPr>
      </w:pPr>
    </w:p>
    <w:p w:rsidR="00287B1D" w:rsidRDefault="00287B1D">
      <w:pPr>
        <w:rPr>
          <w:sz w:val="14"/>
          <w:szCs w:val="14"/>
        </w:rPr>
      </w:pPr>
    </w:p>
    <w:p w:rsidR="00287B1D" w:rsidRDefault="00BB6CB9">
      <w:pPr>
        <w:rPr>
          <w:sz w:val="14"/>
          <w:szCs w:val="14"/>
        </w:rPr>
      </w:pPr>
      <w:r>
        <w:rPr>
          <w:noProof/>
          <w:sz w:val="14"/>
          <w:szCs w:val="14"/>
          <w:lang w:eastAsia="cs-CZ"/>
        </w:rPr>
        <w:drawing>
          <wp:anchor distT="0" distB="0" distL="0" distR="0" simplePos="0" relativeHeight="69" behindDoc="1" locked="0" layoutInCell="1" allowOverlap="1">
            <wp:simplePos x="0" y="0"/>
            <wp:positionH relativeFrom="column">
              <wp:posOffset>4088130</wp:posOffset>
            </wp:positionH>
            <wp:positionV relativeFrom="paragraph">
              <wp:posOffset>57150</wp:posOffset>
            </wp:positionV>
            <wp:extent cx="2021840" cy="2021840"/>
            <wp:effectExtent l="0" t="0" r="0" b="0"/>
            <wp:wrapNone/>
            <wp:docPr id="123" name="Obrázek 82" descr="2100Q Portable Turbidimeter EPA with tungsten filament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Obrázek 82" descr="2100Q Portable Turbidimeter EPA with tungsten filament lamp"/>
                    <pic:cNvPicPr>
                      <a:picLocks noChangeAspect="1" noChangeArrowheads="1"/>
                    </pic:cNvPicPr>
                  </pic:nvPicPr>
                  <pic:blipFill>
                    <a:blip r:embed="rId357"/>
                    <a:stretch>
                      <a:fillRect/>
                    </a:stretch>
                  </pic:blipFill>
                  <pic:spPr bwMode="auto">
                    <a:xfrm>
                      <a:off x="0" y="0"/>
                      <a:ext cx="2021840" cy="2021840"/>
                    </a:xfrm>
                    <a:prstGeom prst="rect">
                      <a:avLst/>
                    </a:prstGeom>
                  </pic:spPr>
                </pic:pic>
              </a:graphicData>
            </a:graphic>
          </wp:anchor>
        </w:drawing>
      </w:r>
    </w:p>
    <w:p w:rsidR="00287B1D" w:rsidRDefault="00BB6CB9">
      <w:pPr>
        <w:rPr>
          <w:sz w:val="14"/>
          <w:szCs w:val="14"/>
        </w:rPr>
      </w:pPr>
      <w:r>
        <w:rPr>
          <w:noProof/>
          <w:sz w:val="14"/>
          <w:szCs w:val="14"/>
          <w:lang w:eastAsia="cs-CZ"/>
        </w:rPr>
        <w:drawing>
          <wp:anchor distT="0" distB="0" distL="0" distR="0" simplePos="0" relativeHeight="68" behindDoc="1" locked="0" layoutInCell="1" allowOverlap="1">
            <wp:simplePos x="0" y="0"/>
            <wp:positionH relativeFrom="column">
              <wp:posOffset>-51435</wp:posOffset>
            </wp:positionH>
            <wp:positionV relativeFrom="paragraph">
              <wp:posOffset>53340</wp:posOffset>
            </wp:positionV>
            <wp:extent cx="1691640" cy="1559560"/>
            <wp:effectExtent l="0" t="0" r="0" b="0"/>
            <wp:wrapNone/>
            <wp:docPr id="124" name="Obrázek 83" descr="DR1900 přenosný spektrofotome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Obrázek 83" descr="DR1900 přenosný spektrofotometr"/>
                    <pic:cNvPicPr>
                      <a:picLocks noChangeAspect="1" noChangeArrowheads="1"/>
                    </pic:cNvPicPr>
                  </pic:nvPicPr>
                  <pic:blipFill>
                    <a:blip r:embed="rId358"/>
                    <a:stretch>
                      <a:fillRect/>
                    </a:stretch>
                  </pic:blipFill>
                  <pic:spPr bwMode="auto">
                    <a:xfrm>
                      <a:off x="0" y="0"/>
                      <a:ext cx="1691640" cy="1559560"/>
                    </a:xfrm>
                    <a:prstGeom prst="rect">
                      <a:avLst/>
                    </a:prstGeom>
                  </pic:spPr>
                </pic:pic>
              </a:graphicData>
            </a:graphic>
          </wp:anchor>
        </w:drawing>
      </w:r>
      <w:r>
        <w:rPr>
          <w:noProof/>
          <w:sz w:val="14"/>
          <w:szCs w:val="14"/>
          <w:lang w:eastAsia="cs-CZ"/>
        </w:rPr>
        <w:drawing>
          <wp:anchor distT="0" distB="0" distL="0" distR="0" simplePos="0" relativeHeight="70" behindDoc="1" locked="0" layoutInCell="1" allowOverlap="1">
            <wp:simplePos x="0" y="0"/>
            <wp:positionH relativeFrom="column">
              <wp:posOffset>2310130</wp:posOffset>
            </wp:positionH>
            <wp:positionV relativeFrom="paragraph">
              <wp:posOffset>3175</wp:posOffset>
            </wp:positionV>
            <wp:extent cx="1666875" cy="1658620"/>
            <wp:effectExtent l="0" t="0" r="0" b="0"/>
            <wp:wrapNone/>
            <wp:docPr id="125" name="Obrázek 85" descr="HQ40D Multi Meter with two channel input for pH, Conductivity, DO &amp; 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Obrázek 85" descr="HQ40D Multi Meter with two channel input for pH, Conductivity, DO &amp; ISE"/>
                    <pic:cNvPicPr>
                      <a:picLocks noChangeAspect="1" noChangeArrowheads="1"/>
                    </pic:cNvPicPr>
                  </pic:nvPicPr>
                  <pic:blipFill>
                    <a:blip r:embed="rId359"/>
                    <a:stretch>
                      <a:fillRect/>
                    </a:stretch>
                  </pic:blipFill>
                  <pic:spPr bwMode="auto">
                    <a:xfrm>
                      <a:off x="0" y="0"/>
                      <a:ext cx="1666875" cy="1658620"/>
                    </a:xfrm>
                    <a:prstGeom prst="rect">
                      <a:avLst/>
                    </a:prstGeom>
                  </pic:spPr>
                </pic:pic>
              </a:graphicData>
            </a:graphic>
          </wp:anchor>
        </w:drawing>
      </w:r>
    </w:p>
    <w:p w:rsidR="00287B1D" w:rsidRDefault="00287B1D">
      <w:pPr>
        <w:rPr>
          <w:sz w:val="14"/>
          <w:szCs w:val="14"/>
        </w:rPr>
      </w:pPr>
    </w:p>
    <w:p w:rsidR="00287B1D" w:rsidRDefault="00287B1D">
      <w:pPr>
        <w:rPr>
          <w:sz w:val="14"/>
          <w:szCs w:val="14"/>
        </w:rPr>
      </w:pPr>
    </w:p>
    <w:p w:rsidR="00287B1D" w:rsidRDefault="00287B1D">
      <w:pPr>
        <w:rPr>
          <w:sz w:val="14"/>
          <w:szCs w:val="14"/>
        </w:rPr>
      </w:pPr>
    </w:p>
    <w:p w:rsidR="00287B1D" w:rsidRDefault="00287B1D">
      <w:pPr>
        <w:rPr>
          <w:sz w:val="14"/>
          <w:szCs w:val="14"/>
        </w:rPr>
      </w:pPr>
    </w:p>
    <w:p w:rsidR="00287B1D" w:rsidRDefault="00287B1D">
      <w:pPr>
        <w:rPr>
          <w:sz w:val="14"/>
          <w:szCs w:val="14"/>
        </w:rPr>
      </w:pPr>
    </w:p>
    <w:p w:rsidR="00287B1D" w:rsidRDefault="00287B1D">
      <w:pPr>
        <w:rPr>
          <w:sz w:val="14"/>
          <w:szCs w:val="14"/>
        </w:rPr>
      </w:pPr>
    </w:p>
    <w:p w:rsidR="00287B1D" w:rsidRDefault="00BB6CB9">
      <w:pPr>
        <w:rPr>
          <w:sz w:val="14"/>
          <w:szCs w:val="14"/>
        </w:rPr>
      </w:pPr>
      <w:proofErr w:type="gramStart"/>
      <w:r>
        <w:rPr>
          <w:sz w:val="14"/>
          <w:szCs w:val="14"/>
        </w:rPr>
        <w:t>Obr.36</w:t>
      </w:r>
      <w:proofErr w:type="gramEnd"/>
      <w:r>
        <w:rPr>
          <w:sz w:val="14"/>
          <w:szCs w:val="14"/>
        </w:rPr>
        <w:t xml:space="preserve"> Vybavení pro servisní měření pH, PPM, TDS/EC…, kalibrované pomocí pufrů, ve výrobním závodě VTI nebo u smluvního dealera</w:t>
      </w:r>
    </w:p>
    <w:tbl>
      <w:tblPr>
        <w:tblW w:w="10702" w:type="dxa"/>
        <w:tblInd w:w="-356" w:type="dxa"/>
        <w:tblCellMar>
          <w:left w:w="70" w:type="dxa"/>
          <w:right w:w="70" w:type="dxa"/>
        </w:tblCellMar>
        <w:tblLook w:val="04A0" w:firstRow="1" w:lastRow="0" w:firstColumn="1" w:lastColumn="0" w:noHBand="0" w:noVBand="1"/>
      </w:tblPr>
      <w:tblGrid>
        <w:gridCol w:w="150"/>
        <w:gridCol w:w="10114"/>
        <w:gridCol w:w="146"/>
        <w:gridCol w:w="146"/>
        <w:gridCol w:w="146"/>
      </w:tblGrid>
      <w:tr w:rsidR="00287B1D">
        <w:trPr>
          <w:trHeight w:val="300"/>
        </w:trPr>
        <w:tc>
          <w:tcPr>
            <w:tcW w:w="10263" w:type="dxa"/>
            <w:gridSpan w:val="2"/>
            <w:shd w:val="clear" w:color="auto" w:fill="auto"/>
            <w:vAlign w:val="center"/>
          </w:tcPr>
          <w:tbl>
            <w:tblPr>
              <w:tblW w:w="9939" w:type="dxa"/>
              <w:tblInd w:w="70" w:type="dxa"/>
              <w:tblCellMar>
                <w:left w:w="70" w:type="dxa"/>
                <w:right w:w="70" w:type="dxa"/>
              </w:tblCellMar>
              <w:tblLook w:val="04A0" w:firstRow="1" w:lastRow="0" w:firstColumn="1" w:lastColumn="0" w:noHBand="0" w:noVBand="1"/>
            </w:tblPr>
            <w:tblGrid>
              <w:gridCol w:w="949"/>
              <w:gridCol w:w="2814"/>
              <w:gridCol w:w="2862"/>
              <w:gridCol w:w="1017"/>
              <w:gridCol w:w="2297"/>
            </w:tblGrid>
            <w:tr w:rsidR="00287B1D">
              <w:trPr>
                <w:trHeight w:val="283"/>
              </w:trPr>
              <w:tc>
                <w:tcPr>
                  <w:tcW w:w="949" w:type="dxa"/>
                  <w:tcBorders>
                    <w:top w:val="single" w:sz="4" w:space="0" w:color="000000"/>
                    <w:left w:val="single" w:sz="4" w:space="0" w:color="000000"/>
                    <w:bottom w:val="single" w:sz="4" w:space="0" w:color="000000"/>
                    <w:right w:val="single" w:sz="4" w:space="0" w:color="000000"/>
                  </w:tcBorders>
                  <w:shd w:val="clear" w:color="000000" w:fill="B8CCE4"/>
                  <w:vAlign w:val="center"/>
                </w:tcPr>
                <w:p w:rsidR="00287B1D" w:rsidRDefault="00BB6CB9">
                  <w:pPr>
                    <w:spacing w:after="0" w:line="240" w:lineRule="auto"/>
                    <w:jc w:val="center"/>
                    <w:rPr>
                      <w:rFonts w:ascii="Calibri" w:eastAsia="Times New Roman" w:hAnsi="Calibri" w:cs="Calibri"/>
                      <w:b/>
                      <w:bCs/>
                      <w:sz w:val="20"/>
                      <w:szCs w:val="20"/>
                      <w:lang w:eastAsia="cs-CZ"/>
                    </w:rPr>
                  </w:pPr>
                  <w:bookmarkStart w:id="0" w:name="RANGE!A8%3AG18"/>
                  <w:r>
                    <w:rPr>
                      <w:rFonts w:ascii="Calibri" w:eastAsia="Times New Roman" w:hAnsi="Calibri" w:cs="Calibri"/>
                      <w:b/>
                      <w:bCs/>
                      <w:sz w:val="20"/>
                      <w:szCs w:val="20"/>
                      <w:lang w:eastAsia="cs-CZ"/>
                    </w:rPr>
                    <w:t>Obj. č.</w:t>
                  </w:r>
                  <w:bookmarkEnd w:id="0"/>
                </w:p>
              </w:tc>
              <w:tc>
                <w:tcPr>
                  <w:tcW w:w="2814" w:type="dxa"/>
                  <w:tcBorders>
                    <w:top w:val="single" w:sz="4" w:space="0" w:color="000000"/>
                    <w:bottom w:val="single" w:sz="4" w:space="0" w:color="000000"/>
                    <w:right w:val="single" w:sz="4" w:space="0" w:color="000000"/>
                  </w:tcBorders>
                  <w:shd w:val="clear" w:color="000000" w:fill="B8CCE4"/>
                  <w:vAlign w:val="center"/>
                </w:tcPr>
                <w:p w:rsidR="00287B1D" w:rsidRDefault="00BB6CB9">
                  <w:pPr>
                    <w:spacing w:after="0" w:line="240" w:lineRule="auto"/>
                    <w:jc w:val="center"/>
                    <w:rPr>
                      <w:rFonts w:ascii="Calibri" w:eastAsia="Times New Roman" w:hAnsi="Calibri" w:cs="Calibri"/>
                      <w:b/>
                      <w:bCs/>
                      <w:color w:val="000000"/>
                      <w:sz w:val="20"/>
                      <w:szCs w:val="20"/>
                      <w:lang w:eastAsia="cs-CZ"/>
                    </w:rPr>
                  </w:pPr>
                  <w:r>
                    <w:rPr>
                      <w:rFonts w:ascii="Calibri" w:eastAsia="Times New Roman" w:hAnsi="Calibri" w:cs="Calibri"/>
                      <w:b/>
                      <w:bCs/>
                      <w:color w:val="000000"/>
                      <w:sz w:val="20"/>
                      <w:szCs w:val="20"/>
                      <w:lang w:eastAsia="cs-CZ"/>
                    </w:rPr>
                    <w:t>Modelová řada</w:t>
                  </w:r>
                </w:p>
              </w:tc>
              <w:tc>
                <w:tcPr>
                  <w:tcW w:w="2862" w:type="dxa"/>
                  <w:tcBorders>
                    <w:top w:val="single" w:sz="4" w:space="0" w:color="000000"/>
                    <w:bottom w:val="single" w:sz="4" w:space="0" w:color="000000"/>
                    <w:right w:val="single" w:sz="4" w:space="0" w:color="000000"/>
                  </w:tcBorders>
                  <w:shd w:val="clear" w:color="000000" w:fill="B8CCE4"/>
                  <w:vAlign w:val="center"/>
                </w:tcPr>
                <w:p w:rsidR="00287B1D" w:rsidRDefault="00BB6CB9">
                  <w:pPr>
                    <w:spacing w:after="0" w:line="240" w:lineRule="auto"/>
                    <w:jc w:val="center"/>
                    <w:rPr>
                      <w:rFonts w:ascii="Calibri" w:eastAsia="Times New Roman" w:hAnsi="Calibri" w:cs="Calibri"/>
                      <w:b/>
                      <w:bCs/>
                      <w:color w:val="000000"/>
                      <w:sz w:val="20"/>
                      <w:szCs w:val="20"/>
                      <w:lang w:eastAsia="cs-CZ"/>
                    </w:rPr>
                  </w:pPr>
                  <w:bookmarkStart w:id="1" w:name="_GoBack"/>
                  <w:bookmarkEnd w:id="1"/>
                  <w:r>
                    <w:rPr>
                      <w:rFonts w:ascii="Calibri" w:eastAsia="Times New Roman" w:hAnsi="Calibri" w:cs="Calibri"/>
                      <w:b/>
                      <w:bCs/>
                      <w:color w:val="000000"/>
                      <w:sz w:val="20"/>
                      <w:szCs w:val="20"/>
                      <w:lang w:eastAsia="cs-CZ"/>
                    </w:rPr>
                    <w:t>Požadavek</w:t>
                  </w:r>
                </w:p>
              </w:tc>
              <w:tc>
                <w:tcPr>
                  <w:tcW w:w="1017" w:type="dxa"/>
                  <w:tcBorders>
                    <w:top w:val="single" w:sz="4" w:space="0" w:color="000000"/>
                    <w:bottom w:val="single" w:sz="4" w:space="0" w:color="000000"/>
                    <w:right w:val="single" w:sz="4" w:space="0" w:color="000000"/>
                  </w:tcBorders>
                  <w:shd w:val="clear" w:color="000000" w:fill="B8CCE4"/>
                  <w:vAlign w:val="center"/>
                </w:tcPr>
                <w:p w:rsidR="00287B1D" w:rsidRDefault="00BB6CB9">
                  <w:pPr>
                    <w:spacing w:after="0" w:line="240" w:lineRule="auto"/>
                    <w:jc w:val="center"/>
                    <w:rPr>
                      <w:rFonts w:ascii="Calibri" w:eastAsia="Times New Roman" w:hAnsi="Calibri" w:cs="Calibri"/>
                      <w:b/>
                      <w:bCs/>
                      <w:color w:val="000000"/>
                      <w:sz w:val="20"/>
                      <w:szCs w:val="20"/>
                      <w:lang w:eastAsia="cs-CZ"/>
                    </w:rPr>
                  </w:pPr>
                  <w:r>
                    <w:rPr>
                      <w:rFonts w:ascii="Calibri" w:eastAsia="Times New Roman" w:hAnsi="Calibri" w:cs="Calibri"/>
                      <w:b/>
                      <w:bCs/>
                      <w:color w:val="000000"/>
                      <w:sz w:val="20"/>
                      <w:szCs w:val="20"/>
                      <w:lang w:eastAsia="cs-CZ"/>
                    </w:rPr>
                    <w:t>Označení</w:t>
                  </w:r>
                </w:p>
              </w:tc>
              <w:tc>
                <w:tcPr>
                  <w:tcW w:w="2297" w:type="dxa"/>
                  <w:tcBorders>
                    <w:top w:val="single" w:sz="4" w:space="0" w:color="000000"/>
                    <w:bottom w:val="single" w:sz="4" w:space="0" w:color="000000"/>
                    <w:right w:val="single" w:sz="4" w:space="0" w:color="000000"/>
                  </w:tcBorders>
                  <w:shd w:val="clear" w:color="000000" w:fill="B8CCE4"/>
                  <w:vAlign w:val="center"/>
                </w:tcPr>
                <w:p w:rsidR="00287B1D" w:rsidRDefault="00BB6CB9">
                  <w:pPr>
                    <w:spacing w:after="0" w:line="240" w:lineRule="auto"/>
                    <w:jc w:val="center"/>
                    <w:rPr>
                      <w:rFonts w:ascii="Calibri" w:eastAsia="Times New Roman" w:hAnsi="Calibri" w:cs="Calibri"/>
                      <w:b/>
                      <w:bCs/>
                      <w:color w:val="000000"/>
                      <w:sz w:val="20"/>
                      <w:szCs w:val="20"/>
                      <w:lang w:eastAsia="cs-CZ"/>
                    </w:rPr>
                  </w:pPr>
                  <w:r>
                    <w:rPr>
                      <w:rFonts w:ascii="Calibri" w:eastAsia="Times New Roman" w:hAnsi="Calibri" w:cs="Calibri"/>
                      <w:b/>
                      <w:bCs/>
                      <w:color w:val="000000"/>
                      <w:sz w:val="20"/>
                      <w:szCs w:val="20"/>
                      <w:lang w:eastAsia="cs-CZ"/>
                    </w:rPr>
                    <w:t>Poznámka - složení</w:t>
                  </w:r>
                </w:p>
              </w:tc>
            </w:tr>
            <w:tr w:rsidR="00287B1D">
              <w:trPr>
                <w:trHeight w:val="283"/>
              </w:trPr>
              <w:tc>
                <w:tcPr>
                  <w:tcW w:w="949"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trike/>
                      <w:color w:val="FF0000"/>
                      <w:lang w:eastAsia="cs-CZ"/>
                    </w:rPr>
                  </w:pPr>
                  <w:r>
                    <w:rPr>
                      <w:b/>
                      <w:color w:val="FF0000"/>
                      <w:sz w:val="12"/>
                      <w:szCs w:val="12"/>
                    </w:rPr>
                    <w:lastRenderedPageBreak/>
                    <w:t>CP21-001*</w:t>
                  </w:r>
                </w:p>
              </w:tc>
              <w:tc>
                <w:tcPr>
                  <w:tcW w:w="2814"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b/>
                      <w:bCs/>
                      <w:color w:val="000000"/>
                      <w:sz w:val="14"/>
                      <w:szCs w:val="14"/>
                      <w:lang w:eastAsia="cs-CZ"/>
                    </w:rPr>
                  </w:pPr>
                  <w:r>
                    <w:rPr>
                      <w:rFonts w:ascii="Calibri" w:eastAsia="Times New Roman" w:hAnsi="Calibri" w:cs="Calibri"/>
                      <w:b/>
                      <w:bCs/>
                      <w:color w:val="000000"/>
                      <w:sz w:val="14"/>
                      <w:szCs w:val="14"/>
                      <w:lang w:eastAsia="cs-CZ"/>
                    </w:rPr>
                    <w:t>AQ3 Mini – Basic/Standard/</w:t>
                  </w:r>
                  <w:r>
                    <w:rPr>
                      <w:rFonts w:ascii="Calibri" w:eastAsia="Times New Roman" w:hAnsi="Calibri" w:cs="Calibri"/>
                      <w:b/>
                      <w:bCs/>
                      <w:color w:val="CC00FF"/>
                      <w:sz w:val="14"/>
                      <w:szCs w:val="14"/>
                      <w:lang w:eastAsia="cs-CZ"/>
                    </w:rPr>
                    <w:t>Exclusive/Café</w:t>
                  </w:r>
                </w:p>
              </w:tc>
              <w:tc>
                <w:tcPr>
                  <w:tcW w:w="2862"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color w:val="000000"/>
                      <w:sz w:val="15"/>
                      <w:szCs w:val="15"/>
                      <w:lang w:eastAsia="cs-CZ"/>
                    </w:rPr>
                  </w:pPr>
                  <w:r>
                    <w:rPr>
                      <w:rFonts w:ascii="Calibri" w:eastAsia="Times New Roman" w:hAnsi="Calibri" w:cs="Calibri"/>
                      <w:b/>
                      <w:bCs/>
                      <w:color w:val="000000"/>
                      <w:sz w:val="15"/>
                      <w:szCs w:val="15"/>
                      <w:lang w:eastAsia="cs-CZ"/>
                    </w:rPr>
                    <w:t xml:space="preserve">Tvrdá </w:t>
                  </w:r>
                  <w:proofErr w:type="gramStart"/>
                  <w:r>
                    <w:rPr>
                      <w:rFonts w:ascii="Calibri" w:eastAsia="Times New Roman" w:hAnsi="Calibri" w:cs="Calibri"/>
                      <w:b/>
                      <w:bCs/>
                      <w:color w:val="000000"/>
                      <w:sz w:val="15"/>
                      <w:szCs w:val="15"/>
                      <w:lang w:eastAsia="cs-CZ"/>
                    </w:rPr>
                    <w:t>voda  Ca</w:t>
                  </w:r>
                  <w:proofErr w:type="gramEnd"/>
                  <w:r>
                    <w:rPr>
                      <w:rFonts w:ascii="Calibri" w:eastAsia="Times New Roman" w:hAnsi="Calibri" w:cs="Calibri"/>
                      <w:b/>
                      <w:bCs/>
                      <w:color w:val="000000"/>
                      <w:sz w:val="15"/>
                      <w:szCs w:val="15"/>
                      <w:lang w:eastAsia="cs-CZ"/>
                    </w:rPr>
                    <w:t xml:space="preserve"> + Mg - změkčení</w:t>
                  </w:r>
                </w:p>
              </w:tc>
              <w:tc>
                <w:tcPr>
                  <w:tcW w:w="101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20"/>
                      <w:szCs w:val="20"/>
                      <w:lang w:eastAsia="cs-CZ"/>
                    </w:rPr>
                  </w:pPr>
                  <w:r>
                    <w:rPr>
                      <w:rFonts w:ascii="Calibri" w:eastAsia="Times New Roman" w:hAnsi="Calibri" w:cs="Calibri"/>
                      <w:color w:val="000000"/>
                      <w:sz w:val="20"/>
                      <w:szCs w:val="20"/>
                      <w:lang w:eastAsia="cs-CZ"/>
                    </w:rPr>
                    <w:t>PPC2</w:t>
                  </w:r>
                  <w:r>
                    <w:rPr>
                      <w:rFonts w:ascii="Calibri" w:eastAsia="Times New Roman" w:hAnsi="Calibri" w:cs="Calibri"/>
                      <w:color w:val="000000"/>
                      <w:sz w:val="20"/>
                      <w:szCs w:val="20"/>
                      <w:vertAlign w:val="superscript"/>
                      <w:lang w:eastAsia="cs-CZ"/>
                    </w:rPr>
                    <w:t>1)</w:t>
                  </w:r>
                </w:p>
              </w:tc>
              <w:tc>
                <w:tcPr>
                  <w:tcW w:w="229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Theme="minorHAnsi" w:eastAsia="Times New Roman" w:hAnsiTheme="minorHAnsi" w:cstheme="minorHAnsi"/>
                      <w:color w:val="000000"/>
                      <w:sz w:val="20"/>
                      <w:szCs w:val="20"/>
                      <w:lang w:eastAsia="cs-CZ"/>
                    </w:rPr>
                  </w:pPr>
                  <w:r>
                    <w:rPr>
                      <w:rFonts w:asciiTheme="minorHAnsi" w:eastAsia="Times New Roman" w:hAnsiTheme="minorHAnsi" w:cstheme="minorHAnsi"/>
                      <w:color w:val="000000"/>
                      <w:sz w:val="20"/>
                      <w:szCs w:val="20"/>
                      <w:lang w:eastAsia="cs-CZ"/>
                    </w:rPr>
                    <w:t>Ca + Mg   ↓</w:t>
                  </w:r>
                </w:p>
              </w:tc>
            </w:tr>
            <w:tr w:rsidR="00287B1D">
              <w:trPr>
                <w:trHeight w:val="283"/>
              </w:trPr>
              <w:tc>
                <w:tcPr>
                  <w:tcW w:w="949"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eastAsia="Times New Roman" w:cs="Calibri"/>
                      <w:b/>
                      <w:bCs/>
                      <w:color w:val="FF0000"/>
                      <w:sz w:val="12"/>
                      <w:szCs w:val="12"/>
                      <w:lang w:eastAsia="cs-CZ"/>
                    </w:rPr>
                  </w:pPr>
                  <w:r>
                    <w:rPr>
                      <w:rFonts w:eastAsia="Times New Roman" w:cs="Calibri"/>
                      <w:b/>
                      <w:bCs/>
                      <w:color w:val="FF0000"/>
                      <w:sz w:val="12"/>
                      <w:szCs w:val="12"/>
                      <w:lang w:eastAsia="cs-CZ"/>
                    </w:rPr>
                    <w:t>CP21-002</w:t>
                  </w:r>
                </w:p>
              </w:tc>
              <w:tc>
                <w:tcPr>
                  <w:tcW w:w="2814"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4"/>
                      <w:szCs w:val="14"/>
                      <w:lang w:eastAsia="cs-CZ"/>
                    </w:rPr>
                  </w:pPr>
                  <w:r>
                    <w:rPr>
                      <w:rFonts w:ascii="Calibri" w:eastAsia="Times New Roman" w:hAnsi="Calibri" w:cs="Calibri"/>
                      <w:color w:val="000000"/>
                      <w:sz w:val="14"/>
                      <w:szCs w:val="14"/>
                      <w:lang w:eastAsia="cs-CZ"/>
                    </w:rPr>
                    <w:t>AQ3 Mini – Basic/Standard/</w:t>
                  </w:r>
                  <w:r>
                    <w:rPr>
                      <w:rFonts w:ascii="Calibri" w:eastAsia="Times New Roman" w:hAnsi="Calibri" w:cs="Calibri"/>
                      <w:color w:val="CC00FF"/>
                      <w:sz w:val="14"/>
                      <w:szCs w:val="14"/>
                      <w:lang w:eastAsia="cs-CZ"/>
                    </w:rPr>
                    <w:t>Exclusive/Café</w:t>
                  </w:r>
                </w:p>
              </w:tc>
              <w:tc>
                <w:tcPr>
                  <w:tcW w:w="2862"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5"/>
                      <w:szCs w:val="15"/>
                      <w:lang w:eastAsia="cs-CZ"/>
                    </w:rPr>
                  </w:pPr>
                  <w:r>
                    <w:rPr>
                      <w:rFonts w:ascii="Calibri" w:eastAsia="Times New Roman" w:hAnsi="Calibri" w:cs="Calibri"/>
                      <w:color w:val="000000"/>
                      <w:sz w:val="15"/>
                      <w:szCs w:val="15"/>
                      <w:lang w:eastAsia="cs-CZ"/>
                    </w:rPr>
                    <w:t xml:space="preserve">Arsen - snížení </w:t>
                  </w:r>
                </w:p>
              </w:tc>
              <w:tc>
                <w:tcPr>
                  <w:tcW w:w="101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20"/>
                      <w:szCs w:val="20"/>
                      <w:lang w:eastAsia="cs-CZ"/>
                    </w:rPr>
                  </w:pPr>
                  <w:r>
                    <w:rPr>
                      <w:rFonts w:ascii="Calibri" w:eastAsia="Times New Roman" w:hAnsi="Calibri" w:cs="Calibri"/>
                      <w:color w:val="000000"/>
                      <w:sz w:val="20"/>
                      <w:szCs w:val="20"/>
                      <w:lang w:eastAsia="cs-CZ"/>
                    </w:rPr>
                    <w:t>LT60</w:t>
                  </w:r>
                  <w:r>
                    <w:rPr>
                      <w:rFonts w:ascii="Calibri" w:eastAsia="Times New Roman" w:hAnsi="Calibri" w:cs="Calibri"/>
                      <w:color w:val="000000"/>
                      <w:sz w:val="20"/>
                      <w:szCs w:val="20"/>
                      <w:vertAlign w:val="superscript"/>
                      <w:lang w:eastAsia="cs-CZ"/>
                    </w:rPr>
                    <w:t>2)</w:t>
                  </w:r>
                </w:p>
              </w:tc>
              <w:tc>
                <w:tcPr>
                  <w:tcW w:w="229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Theme="minorHAnsi" w:eastAsia="Times New Roman" w:hAnsiTheme="minorHAnsi" w:cstheme="minorHAnsi"/>
                      <w:color w:val="000000"/>
                      <w:sz w:val="20"/>
                      <w:szCs w:val="20"/>
                      <w:lang w:eastAsia="cs-CZ"/>
                    </w:rPr>
                  </w:pPr>
                  <w:r>
                    <w:rPr>
                      <w:rFonts w:asciiTheme="minorHAnsi" w:eastAsia="Times New Roman" w:hAnsiTheme="minorHAnsi" w:cstheme="minorHAnsi"/>
                      <w:color w:val="000000"/>
                      <w:sz w:val="20"/>
                      <w:szCs w:val="20"/>
                      <w:lang w:eastAsia="cs-CZ"/>
                    </w:rPr>
                    <w:t>As   ↓</w:t>
                  </w:r>
                </w:p>
              </w:tc>
            </w:tr>
            <w:tr w:rsidR="00287B1D">
              <w:trPr>
                <w:trHeight w:val="283"/>
              </w:trPr>
              <w:tc>
                <w:tcPr>
                  <w:tcW w:w="949" w:type="dxa"/>
                  <w:tcBorders>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eastAsia="Times New Roman" w:cs="Calibri"/>
                      <w:b/>
                      <w:bCs/>
                      <w:color w:val="FF0000"/>
                      <w:sz w:val="12"/>
                      <w:szCs w:val="12"/>
                      <w:lang w:eastAsia="cs-CZ"/>
                    </w:rPr>
                  </w:pPr>
                  <w:r>
                    <w:rPr>
                      <w:rFonts w:eastAsia="Times New Roman" w:cs="Calibri"/>
                      <w:b/>
                      <w:bCs/>
                      <w:color w:val="FF0000"/>
                      <w:sz w:val="12"/>
                      <w:szCs w:val="12"/>
                      <w:lang w:eastAsia="cs-CZ"/>
                    </w:rPr>
                    <w:t>CP21-003</w:t>
                  </w:r>
                </w:p>
              </w:tc>
              <w:tc>
                <w:tcPr>
                  <w:tcW w:w="2814"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4"/>
                      <w:szCs w:val="14"/>
                      <w:lang w:eastAsia="cs-CZ"/>
                    </w:rPr>
                  </w:pPr>
                  <w:r>
                    <w:rPr>
                      <w:rFonts w:ascii="Calibri" w:eastAsia="Times New Roman" w:hAnsi="Calibri" w:cs="Calibri"/>
                      <w:color w:val="000000"/>
                      <w:sz w:val="14"/>
                      <w:szCs w:val="14"/>
                      <w:lang w:eastAsia="cs-CZ"/>
                    </w:rPr>
                    <w:t>AQ3 Mini – Basic/Standard/</w:t>
                  </w:r>
                  <w:r>
                    <w:rPr>
                      <w:rFonts w:ascii="Calibri" w:eastAsia="Times New Roman" w:hAnsi="Calibri" w:cs="Calibri"/>
                      <w:color w:val="CC00FF"/>
                      <w:sz w:val="14"/>
                      <w:szCs w:val="14"/>
                      <w:lang w:eastAsia="cs-CZ"/>
                    </w:rPr>
                    <w:t>Exclusive/Café</w:t>
                  </w:r>
                </w:p>
              </w:tc>
              <w:tc>
                <w:tcPr>
                  <w:tcW w:w="2862"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5"/>
                      <w:szCs w:val="15"/>
                      <w:lang w:eastAsia="cs-CZ"/>
                    </w:rPr>
                  </w:pPr>
                  <w:r>
                    <w:rPr>
                      <w:rFonts w:ascii="Calibri" w:eastAsia="Times New Roman" w:hAnsi="Calibri" w:cs="Calibri"/>
                      <w:color w:val="000000"/>
                      <w:sz w:val="15"/>
                      <w:szCs w:val="15"/>
                      <w:lang w:eastAsia="cs-CZ"/>
                    </w:rPr>
                    <w:t>Železo, Mangan - snížení</w:t>
                  </w:r>
                </w:p>
              </w:tc>
              <w:tc>
                <w:tcPr>
                  <w:tcW w:w="101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20"/>
                      <w:szCs w:val="20"/>
                      <w:lang w:eastAsia="cs-CZ"/>
                    </w:rPr>
                  </w:pPr>
                  <w:r>
                    <w:rPr>
                      <w:rFonts w:ascii="Calibri" w:eastAsia="Times New Roman" w:hAnsi="Calibri" w:cs="Calibri"/>
                      <w:color w:val="000000"/>
                      <w:sz w:val="20"/>
                      <w:szCs w:val="20"/>
                      <w:lang w:eastAsia="cs-CZ"/>
                    </w:rPr>
                    <w:t>ECM_P</w:t>
                  </w:r>
                  <w:r>
                    <w:rPr>
                      <w:rFonts w:ascii="Calibri" w:eastAsia="Times New Roman" w:hAnsi="Calibri" w:cs="Calibri"/>
                      <w:color w:val="000000"/>
                      <w:sz w:val="20"/>
                      <w:szCs w:val="20"/>
                      <w:vertAlign w:val="superscript"/>
                      <w:lang w:eastAsia="cs-CZ"/>
                    </w:rPr>
                    <w:t>3)</w:t>
                  </w:r>
                </w:p>
              </w:tc>
              <w:tc>
                <w:tcPr>
                  <w:tcW w:w="229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Theme="minorHAnsi" w:eastAsia="Times New Roman" w:hAnsiTheme="minorHAnsi" w:cstheme="minorHAnsi"/>
                      <w:color w:val="000000"/>
                      <w:sz w:val="20"/>
                      <w:szCs w:val="20"/>
                      <w:lang w:eastAsia="cs-CZ"/>
                    </w:rPr>
                  </w:pPr>
                  <w:r>
                    <w:rPr>
                      <w:rFonts w:asciiTheme="minorHAnsi" w:eastAsia="Times New Roman" w:hAnsiTheme="minorHAnsi" w:cstheme="minorHAnsi"/>
                      <w:color w:val="000000"/>
                      <w:sz w:val="20"/>
                      <w:szCs w:val="20"/>
                      <w:lang w:eastAsia="cs-CZ"/>
                    </w:rPr>
                    <w:t>Fe + Mn   ↓</w:t>
                  </w:r>
                </w:p>
              </w:tc>
            </w:tr>
            <w:tr w:rsidR="00287B1D">
              <w:trPr>
                <w:trHeight w:val="337"/>
              </w:trPr>
              <w:tc>
                <w:tcPr>
                  <w:tcW w:w="949" w:type="dxa"/>
                  <w:tcBorders>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eastAsia="Times New Roman" w:cs="Calibri"/>
                      <w:b/>
                      <w:bCs/>
                      <w:color w:val="FF0000"/>
                      <w:sz w:val="12"/>
                      <w:szCs w:val="12"/>
                      <w:lang w:eastAsia="cs-CZ"/>
                    </w:rPr>
                  </w:pPr>
                  <w:r>
                    <w:rPr>
                      <w:rFonts w:eastAsia="Times New Roman" w:cs="Calibri"/>
                      <w:b/>
                      <w:bCs/>
                      <w:color w:val="FF0000"/>
                      <w:sz w:val="12"/>
                      <w:szCs w:val="12"/>
                      <w:lang w:eastAsia="cs-CZ"/>
                    </w:rPr>
                    <w:t>CP21-004</w:t>
                  </w:r>
                </w:p>
              </w:tc>
              <w:tc>
                <w:tcPr>
                  <w:tcW w:w="2814"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4"/>
                      <w:szCs w:val="14"/>
                      <w:lang w:eastAsia="cs-CZ"/>
                    </w:rPr>
                  </w:pPr>
                  <w:r>
                    <w:rPr>
                      <w:rFonts w:ascii="Calibri" w:eastAsia="Times New Roman" w:hAnsi="Calibri" w:cs="Calibri"/>
                      <w:color w:val="000000"/>
                      <w:sz w:val="14"/>
                      <w:szCs w:val="14"/>
                      <w:lang w:eastAsia="cs-CZ"/>
                    </w:rPr>
                    <w:t>AQ3 Mini – Basic/Standard/</w:t>
                  </w:r>
                  <w:r>
                    <w:rPr>
                      <w:rFonts w:ascii="Calibri" w:eastAsia="Times New Roman" w:hAnsi="Calibri" w:cs="Calibri"/>
                      <w:color w:val="CC00FF"/>
                      <w:sz w:val="14"/>
                      <w:szCs w:val="14"/>
                      <w:lang w:eastAsia="cs-CZ"/>
                    </w:rPr>
                    <w:t>Exclusive/Café</w:t>
                  </w:r>
                </w:p>
              </w:tc>
              <w:tc>
                <w:tcPr>
                  <w:tcW w:w="2862"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5"/>
                      <w:szCs w:val="15"/>
                      <w:lang w:eastAsia="cs-CZ"/>
                    </w:rPr>
                  </w:pPr>
                  <w:r>
                    <w:rPr>
                      <w:rFonts w:ascii="Calibri" w:eastAsia="Times New Roman" w:hAnsi="Calibri" w:cs="Calibri"/>
                      <w:color w:val="000000"/>
                      <w:sz w:val="15"/>
                      <w:szCs w:val="15"/>
                      <w:lang w:eastAsia="cs-CZ"/>
                    </w:rPr>
                    <w:t>Vápník, Hořčík, Železo, Amoniak - snížení</w:t>
                  </w:r>
                </w:p>
              </w:tc>
              <w:tc>
                <w:tcPr>
                  <w:tcW w:w="101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20"/>
                      <w:szCs w:val="20"/>
                      <w:lang w:eastAsia="cs-CZ"/>
                    </w:rPr>
                  </w:pPr>
                  <w:r>
                    <w:rPr>
                      <w:rFonts w:ascii="Calibri" w:eastAsia="Times New Roman" w:hAnsi="Calibri" w:cs="Calibri"/>
                      <w:color w:val="000000"/>
                      <w:sz w:val="20"/>
                      <w:szCs w:val="20"/>
                      <w:lang w:eastAsia="cs-CZ"/>
                    </w:rPr>
                    <w:t>ECM_A</w:t>
                  </w:r>
                  <w:r>
                    <w:rPr>
                      <w:rFonts w:ascii="Calibri" w:eastAsia="Times New Roman" w:hAnsi="Calibri" w:cs="Calibri"/>
                      <w:color w:val="000000"/>
                      <w:sz w:val="20"/>
                      <w:szCs w:val="20"/>
                      <w:vertAlign w:val="superscript"/>
                      <w:lang w:eastAsia="cs-CZ"/>
                    </w:rPr>
                    <w:t>4)</w:t>
                  </w:r>
                </w:p>
              </w:tc>
              <w:tc>
                <w:tcPr>
                  <w:tcW w:w="229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Theme="minorHAnsi" w:eastAsia="Times New Roman" w:hAnsiTheme="minorHAnsi" w:cstheme="minorHAnsi"/>
                      <w:color w:val="000000"/>
                      <w:sz w:val="20"/>
                      <w:szCs w:val="20"/>
                      <w:lang w:eastAsia="cs-CZ"/>
                    </w:rPr>
                  </w:pPr>
                  <w:r>
                    <w:rPr>
                      <w:rFonts w:asciiTheme="minorHAnsi" w:eastAsia="Times New Roman" w:hAnsiTheme="minorHAnsi" w:cstheme="minorHAnsi"/>
                      <w:color w:val="000000"/>
                      <w:sz w:val="20"/>
                      <w:szCs w:val="20"/>
                      <w:lang w:eastAsia="cs-CZ"/>
                    </w:rPr>
                    <w:t>Ca, Mg, Fe, NH</w:t>
                  </w:r>
                  <w:r>
                    <w:rPr>
                      <w:rFonts w:asciiTheme="minorHAnsi" w:eastAsia="Times New Roman" w:hAnsiTheme="minorHAnsi" w:cstheme="minorHAnsi"/>
                      <w:color w:val="000000"/>
                      <w:sz w:val="20"/>
                      <w:szCs w:val="20"/>
                      <w:vertAlign w:val="subscript"/>
                      <w:lang w:eastAsia="cs-CZ"/>
                    </w:rPr>
                    <w:t>4</w:t>
                  </w:r>
                  <w:r>
                    <w:rPr>
                      <w:rFonts w:asciiTheme="minorHAnsi" w:eastAsia="Times New Roman" w:hAnsiTheme="minorHAnsi" w:cstheme="minorHAnsi"/>
                      <w:color w:val="000000"/>
                      <w:sz w:val="20"/>
                      <w:szCs w:val="20"/>
                      <w:vertAlign w:val="superscript"/>
                      <w:lang w:eastAsia="cs-CZ"/>
                    </w:rPr>
                    <w:t xml:space="preserve">+   </w:t>
                  </w:r>
                  <w:r>
                    <w:rPr>
                      <w:rFonts w:asciiTheme="minorHAnsi" w:eastAsia="Times New Roman" w:hAnsiTheme="minorHAnsi" w:cstheme="minorHAnsi"/>
                      <w:color w:val="000000"/>
                      <w:sz w:val="20"/>
                      <w:szCs w:val="20"/>
                      <w:lang w:eastAsia="cs-CZ"/>
                    </w:rPr>
                    <w:t>↓</w:t>
                  </w:r>
                </w:p>
              </w:tc>
            </w:tr>
            <w:tr w:rsidR="00287B1D">
              <w:trPr>
                <w:trHeight w:val="283"/>
              </w:trPr>
              <w:tc>
                <w:tcPr>
                  <w:tcW w:w="949" w:type="dxa"/>
                  <w:tcBorders>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eastAsia="Times New Roman" w:cs="Calibri"/>
                      <w:b/>
                      <w:bCs/>
                      <w:color w:val="FF0000"/>
                      <w:sz w:val="12"/>
                      <w:szCs w:val="12"/>
                      <w:lang w:eastAsia="cs-CZ"/>
                    </w:rPr>
                  </w:pPr>
                  <w:r>
                    <w:rPr>
                      <w:rFonts w:eastAsia="Times New Roman" w:cs="Calibri"/>
                      <w:b/>
                      <w:bCs/>
                      <w:color w:val="FF0000"/>
                      <w:sz w:val="12"/>
                      <w:szCs w:val="12"/>
                      <w:lang w:eastAsia="cs-CZ"/>
                    </w:rPr>
                    <w:t>CP21-005</w:t>
                  </w:r>
                </w:p>
              </w:tc>
              <w:tc>
                <w:tcPr>
                  <w:tcW w:w="2814"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4"/>
                      <w:szCs w:val="14"/>
                      <w:lang w:eastAsia="cs-CZ"/>
                    </w:rPr>
                  </w:pPr>
                  <w:r>
                    <w:rPr>
                      <w:rFonts w:ascii="Calibri" w:eastAsia="Times New Roman" w:hAnsi="Calibri" w:cs="Calibri"/>
                      <w:color w:val="000000"/>
                      <w:sz w:val="14"/>
                      <w:szCs w:val="14"/>
                      <w:lang w:eastAsia="cs-CZ"/>
                    </w:rPr>
                    <w:t>AQ3 Mini – Basic/Standard/</w:t>
                  </w:r>
                  <w:r>
                    <w:rPr>
                      <w:rFonts w:ascii="Calibri" w:eastAsia="Times New Roman" w:hAnsi="Calibri" w:cs="Calibri"/>
                      <w:color w:val="CC00FF"/>
                      <w:sz w:val="14"/>
                      <w:szCs w:val="14"/>
                      <w:lang w:eastAsia="cs-CZ"/>
                    </w:rPr>
                    <w:t>Exclusive/Café</w:t>
                  </w:r>
                </w:p>
              </w:tc>
              <w:tc>
                <w:tcPr>
                  <w:tcW w:w="2862"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5"/>
                      <w:szCs w:val="15"/>
                      <w:lang w:eastAsia="cs-CZ"/>
                    </w:rPr>
                  </w:pPr>
                  <w:r>
                    <w:rPr>
                      <w:rFonts w:ascii="Calibri" w:eastAsia="Times New Roman" w:hAnsi="Calibri" w:cs="Calibri"/>
                      <w:color w:val="000000"/>
                      <w:sz w:val="15"/>
                      <w:szCs w:val="15"/>
                      <w:lang w:eastAsia="cs-CZ"/>
                    </w:rPr>
                    <w:t>pH+ stabilizace</w:t>
                  </w:r>
                  <w:r>
                    <w:rPr>
                      <w:rFonts w:ascii="Calibri" w:eastAsia="Times New Roman" w:hAnsi="Calibri" w:cs="Calibri"/>
                      <w:color w:val="000000"/>
                      <w:sz w:val="15"/>
                      <w:szCs w:val="15"/>
                      <w:vertAlign w:val="superscript"/>
                      <w:lang w:eastAsia="cs-CZ"/>
                    </w:rPr>
                    <w:t xml:space="preserve"> </w:t>
                  </w:r>
                </w:p>
              </w:tc>
              <w:tc>
                <w:tcPr>
                  <w:tcW w:w="101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20"/>
                      <w:szCs w:val="20"/>
                      <w:lang w:eastAsia="cs-CZ"/>
                    </w:rPr>
                  </w:pPr>
                  <w:r>
                    <w:rPr>
                      <w:rFonts w:ascii="Calibri" w:eastAsia="Times New Roman" w:hAnsi="Calibri" w:cs="Calibri"/>
                      <w:color w:val="000000"/>
                      <w:sz w:val="20"/>
                      <w:szCs w:val="20"/>
                      <w:lang w:eastAsia="cs-CZ"/>
                    </w:rPr>
                    <w:t>CRS_X</w:t>
                  </w:r>
                  <w:r>
                    <w:rPr>
                      <w:rFonts w:ascii="Calibri" w:eastAsia="Times New Roman" w:hAnsi="Calibri" w:cs="Calibri"/>
                      <w:color w:val="000000"/>
                      <w:sz w:val="20"/>
                      <w:szCs w:val="20"/>
                      <w:vertAlign w:val="superscript"/>
                      <w:lang w:eastAsia="cs-CZ"/>
                    </w:rPr>
                    <w:t>5)</w:t>
                  </w:r>
                </w:p>
              </w:tc>
              <w:tc>
                <w:tcPr>
                  <w:tcW w:w="229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Theme="minorHAnsi" w:eastAsia="Times New Roman" w:hAnsiTheme="minorHAnsi" w:cstheme="minorHAnsi"/>
                      <w:color w:val="373A3C"/>
                      <w:sz w:val="20"/>
                      <w:szCs w:val="20"/>
                      <w:lang w:eastAsia="cs-CZ"/>
                    </w:rPr>
                  </w:pPr>
                  <w:r>
                    <w:rPr>
                      <w:rFonts w:asciiTheme="minorHAnsi" w:eastAsia="Times New Roman" w:hAnsiTheme="minorHAnsi" w:cstheme="minorHAnsi"/>
                      <w:color w:val="373A3C"/>
                      <w:sz w:val="20"/>
                      <w:szCs w:val="20"/>
                      <w:lang w:eastAsia="cs-CZ"/>
                    </w:rPr>
                    <w:t>MgO; 4,5 - 6,0   ↑</w:t>
                  </w:r>
                </w:p>
              </w:tc>
            </w:tr>
            <w:tr w:rsidR="00287B1D">
              <w:trPr>
                <w:trHeight w:val="283"/>
              </w:trPr>
              <w:tc>
                <w:tcPr>
                  <w:tcW w:w="949" w:type="dxa"/>
                  <w:tcBorders>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eastAsia="Times New Roman" w:cs="Calibri"/>
                      <w:b/>
                      <w:bCs/>
                      <w:color w:val="FF0000"/>
                      <w:sz w:val="12"/>
                      <w:szCs w:val="12"/>
                      <w:lang w:eastAsia="cs-CZ"/>
                    </w:rPr>
                  </w:pPr>
                  <w:r>
                    <w:rPr>
                      <w:rFonts w:eastAsia="Times New Roman" w:cs="Calibri"/>
                      <w:b/>
                      <w:bCs/>
                      <w:color w:val="FF0000"/>
                      <w:sz w:val="12"/>
                      <w:szCs w:val="12"/>
                      <w:lang w:eastAsia="cs-CZ"/>
                    </w:rPr>
                    <w:t>CP21-006</w:t>
                  </w:r>
                </w:p>
              </w:tc>
              <w:tc>
                <w:tcPr>
                  <w:tcW w:w="2814"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4"/>
                      <w:szCs w:val="14"/>
                      <w:lang w:eastAsia="cs-CZ"/>
                    </w:rPr>
                  </w:pPr>
                  <w:r>
                    <w:rPr>
                      <w:rFonts w:ascii="Calibri" w:eastAsia="Times New Roman" w:hAnsi="Calibri" w:cs="Calibri"/>
                      <w:color w:val="000000"/>
                      <w:sz w:val="14"/>
                      <w:szCs w:val="14"/>
                      <w:lang w:eastAsia="cs-CZ"/>
                    </w:rPr>
                    <w:t>AQ3 Mini – Basic/Standard/</w:t>
                  </w:r>
                  <w:r>
                    <w:rPr>
                      <w:rFonts w:ascii="Calibri" w:eastAsia="Times New Roman" w:hAnsi="Calibri" w:cs="Calibri"/>
                      <w:color w:val="CC00FF"/>
                      <w:sz w:val="14"/>
                      <w:szCs w:val="14"/>
                      <w:lang w:eastAsia="cs-CZ"/>
                    </w:rPr>
                    <w:t>Exclusive/Café</w:t>
                  </w:r>
                </w:p>
              </w:tc>
              <w:tc>
                <w:tcPr>
                  <w:tcW w:w="2862"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5"/>
                      <w:szCs w:val="15"/>
                      <w:lang w:eastAsia="cs-CZ"/>
                    </w:rPr>
                  </w:pPr>
                  <w:r>
                    <w:rPr>
                      <w:rFonts w:ascii="Calibri" w:eastAsia="Times New Roman" w:hAnsi="Calibri" w:cs="Calibri"/>
                      <w:color w:val="000000"/>
                      <w:sz w:val="15"/>
                      <w:szCs w:val="15"/>
                      <w:lang w:eastAsia="cs-CZ"/>
                    </w:rPr>
                    <w:t>pH++ stabilizace</w:t>
                  </w:r>
                  <w:r>
                    <w:rPr>
                      <w:rFonts w:ascii="Calibri" w:eastAsia="Times New Roman" w:hAnsi="Calibri" w:cs="Calibri"/>
                      <w:color w:val="000000"/>
                      <w:sz w:val="15"/>
                      <w:szCs w:val="15"/>
                      <w:vertAlign w:val="superscript"/>
                      <w:lang w:eastAsia="cs-CZ"/>
                    </w:rPr>
                    <w:t xml:space="preserve"> </w:t>
                  </w:r>
                </w:p>
              </w:tc>
              <w:tc>
                <w:tcPr>
                  <w:tcW w:w="101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20"/>
                      <w:szCs w:val="20"/>
                      <w:lang w:eastAsia="cs-CZ"/>
                    </w:rPr>
                  </w:pPr>
                  <w:r>
                    <w:rPr>
                      <w:rFonts w:ascii="Calibri" w:eastAsia="Times New Roman" w:hAnsi="Calibri" w:cs="Calibri"/>
                      <w:color w:val="000000"/>
                      <w:sz w:val="20"/>
                      <w:szCs w:val="20"/>
                      <w:lang w:eastAsia="cs-CZ"/>
                    </w:rPr>
                    <w:t>CCT_E</w:t>
                  </w:r>
                  <w:r>
                    <w:rPr>
                      <w:rFonts w:ascii="Calibri" w:eastAsia="Times New Roman" w:hAnsi="Calibri" w:cs="Calibri"/>
                      <w:color w:val="000000"/>
                      <w:sz w:val="20"/>
                      <w:szCs w:val="20"/>
                      <w:vertAlign w:val="superscript"/>
                      <w:lang w:eastAsia="cs-CZ"/>
                    </w:rPr>
                    <w:t>6)</w:t>
                  </w:r>
                </w:p>
              </w:tc>
              <w:tc>
                <w:tcPr>
                  <w:tcW w:w="229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Theme="minorHAnsi" w:eastAsia="Times New Roman" w:hAnsiTheme="minorHAnsi" w:cstheme="minorHAnsi"/>
                      <w:color w:val="373A3C"/>
                      <w:sz w:val="20"/>
                      <w:szCs w:val="20"/>
                      <w:lang w:eastAsia="cs-CZ"/>
                    </w:rPr>
                  </w:pPr>
                  <w:r>
                    <w:rPr>
                      <w:rFonts w:asciiTheme="minorHAnsi" w:eastAsia="Times New Roman" w:hAnsiTheme="minorHAnsi" w:cstheme="minorHAnsi"/>
                      <w:color w:val="373A3C"/>
                      <w:sz w:val="20"/>
                      <w:szCs w:val="20"/>
                      <w:lang w:eastAsia="cs-CZ"/>
                    </w:rPr>
                    <w:t>CaCO</w:t>
                  </w:r>
                  <w:r>
                    <w:rPr>
                      <w:rFonts w:asciiTheme="minorHAnsi" w:eastAsia="Times New Roman" w:hAnsiTheme="minorHAnsi" w:cstheme="minorHAnsi"/>
                      <w:color w:val="373A3C"/>
                      <w:sz w:val="20"/>
                      <w:szCs w:val="20"/>
                      <w:vertAlign w:val="subscript"/>
                      <w:lang w:eastAsia="cs-CZ"/>
                    </w:rPr>
                    <w:t>3</w:t>
                  </w:r>
                  <w:r>
                    <w:rPr>
                      <w:rFonts w:asciiTheme="minorHAnsi" w:eastAsia="Times New Roman" w:hAnsiTheme="minorHAnsi" w:cstheme="minorHAnsi"/>
                      <w:color w:val="373A3C"/>
                      <w:sz w:val="20"/>
                      <w:szCs w:val="20"/>
                      <w:lang w:eastAsia="cs-CZ"/>
                    </w:rPr>
                    <w:t>, MgCO</w:t>
                  </w:r>
                  <w:r>
                    <w:rPr>
                      <w:rFonts w:asciiTheme="minorHAnsi" w:eastAsia="Times New Roman" w:hAnsiTheme="minorHAnsi" w:cstheme="minorHAnsi"/>
                      <w:color w:val="373A3C"/>
                      <w:sz w:val="20"/>
                      <w:szCs w:val="20"/>
                      <w:vertAlign w:val="subscript"/>
                      <w:lang w:eastAsia="cs-CZ"/>
                    </w:rPr>
                    <w:t>3</w:t>
                  </w:r>
                  <w:r>
                    <w:rPr>
                      <w:rFonts w:asciiTheme="minorHAnsi" w:eastAsia="Times New Roman" w:hAnsiTheme="minorHAnsi" w:cstheme="minorHAnsi"/>
                      <w:color w:val="373A3C"/>
                      <w:sz w:val="20"/>
                      <w:szCs w:val="20"/>
                      <w:lang w:eastAsia="cs-CZ"/>
                    </w:rPr>
                    <w:t>;</w:t>
                  </w:r>
                  <w:r>
                    <w:rPr>
                      <w:rFonts w:asciiTheme="minorHAnsi" w:eastAsia="Times New Roman" w:hAnsiTheme="minorHAnsi" w:cstheme="minorHAnsi"/>
                      <w:color w:val="373A3C"/>
                      <w:sz w:val="20"/>
                      <w:szCs w:val="20"/>
                      <w:vertAlign w:val="subscript"/>
                      <w:lang w:eastAsia="cs-CZ"/>
                    </w:rPr>
                    <w:t xml:space="preserve"> </w:t>
                  </w:r>
                  <w:r>
                    <w:rPr>
                      <w:rFonts w:asciiTheme="minorHAnsi" w:eastAsia="Times New Roman" w:hAnsiTheme="minorHAnsi" w:cstheme="minorHAnsi"/>
                      <w:color w:val="373A3C"/>
                      <w:sz w:val="20"/>
                      <w:szCs w:val="20"/>
                      <w:lang w:eastAsia="cs-CZ"/>
                    </w:rPr>
                    <w:t xml:space="preserve">5,0 - 7,0 ↑  </w:t>
                  </w:r>
                </w:p>
              </w:tc>
            </w:tr>
            <w:tr w:rsidR="00287B1D">
              <w:trPr>
                <w:trHeight w:val="283"/>
              </w:trPr>
              <w:tc>
                <w:tcPr>
                  <w:tcW w:w="949" w:type="dxa"/>
                  <w:tcBorders>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eastAsia="Times New Roman" w:cs="Calibri"/>
                      <w:b/>
                      <w:bCs/>
                      <w:color w:val="FF0000"/>
                      <w:sz w:val="12"/>
                      <w:szCs w:val="12"/>
                      <w:lang w:eastAsia="cs-CZ"/>
                    </w:rPr>
                  </w:pPr>
                  <w:r>
                    <w:rPr>
                      <w:rFonts w:eastAsia="Times New Roman" w:cs="Calibri"/>
                      <w:b/>
                      <w:bCs/>
                      <w:color w:val="FF0000"/>
                      <w:sz w:val="12"/>
                      <w:szCs w:val="12"/>
                      <w:lang w:eastAsia="cs-CZ"/>
                    </w:rPr>
                    <w:t>CP21-007</w:t>
                  </w:r>
                </w:p>
              </w:tc>
              <w:tc>
                <w:tcPr>
                  <w:tcW w:w="2814"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4"/>
                      <w:szCs w:val="14"/>
                      <w:lang w:eastAsia="cs-CZ"/>
                    </w:rPr>
                  </w:pPr>
                  <w:r>
                    <w:rPr>
                      <w:rFonts w:ascii="Calibri" w:eastAsia="Times New Roman" w:hAnsi="Calibri" w:cs="Calibri"/>
                      <w:color w:val="000000"/>
                      <w:sz w:val="14"/>
                      <w:szCs w:val="14"/>
                      <w:lang w:eastAsia="cs-CZ"/>
                    </w:rPr>
                    <w:t>AQ3 Mini – Basic/Standard/</w:t>
                  </w:r>
                  <w:r>
                    <w:rPr>
                      <w:rFonts w:ascii="Calibri" w:eastAsia="Times New Roman" w:hAnsi="Calibri" w:cs="Calibri"/>
                      <w:color w:val="CC00FF"/>
                      <w:sz w:val="14"/>
                      <w:szCs w:val="14"/>
                      <w:lang w:eastAsia="cs-CZ"/>
                    </w:rPr>
                    <w:t>Exclusive/Café</w:t>
                  </w:r>
                </w:p>
              </w:tc>
              <w:tc>
                <w:tcPr>
                  <w:tcW w:w="2862"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5"/>
                      <w:szCs w:val="15"/>
                      <w:lang w:eastAsia="cs-CZ"/>
                    </w:rPr>
                  </w:pPr>
                  <w:r>
                    <w:rPr>
                      <w:rFonts w:ascii="Calibri" w:eastAsia="Times New Roman" w:hAnsi="Calibri" w:cs="Calibri"/>
                      <w:color w:val="000000"/>
                      <w:sz w:val="15"/>
                      <w:szCs w:val="15"/>
                      <w:lang w:eastAsia="cs-CZ"/>
                    </w:rPr>
                    <w:t xml:space="preserve">NTU - snížení zákalu </w:t>
                  </w:r>
                </w:p>
              </w:tc>
              <w:tc>
                <w:tcPr>
                  <w:tcW w:w="101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20"/>
                      <w:szCs w:val="20"/>
                      <w:lang w:eastAsia="cs-CZ"/>
                    </w:rPr>
                  </w:pPr>
                  <w:r>
                    <w:rPr>
                      <w:rFonts w:ascii="Calibri" w:eastAsia="Times New Roman" w:hAnsi="Calibri" w:cs="Calibri"/>
                      <w:color w:val="000000"/>
                      <w:sz w:val="20"/>
                      <w:szCs w:val="20"/>
                      <w:lang w:eastAsia="cs-CZ"/>
                    </w:rPr>
                    <w:t>SNT-X</w:t>
                  </w:r>
                  <w:r>
                    <w:rPr>
                      <w:rFonts w:ascii="Calibri" w:eastAsia="Times New Roman" w:hAnsi="Calibri" w:cs="Calibri"/>
                      <w:color w:val="000000"/>
                      <w:sz w:val="20"/>
                      <w:szCs w:val="20"/>
                      <w:vertAlign w:val="superscript"/>
                      <w:lang w:eastAsia="cs-CZ"/>
                    </w:rPr>
                    <w:t>7)</w:t>
                  </w:r>
                </w:p>
              </w:tc>
              <w:tc>
                <w:tcPr>
                  <w:tcW w:w="229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Theme="minorHAnsi" w:eastAsia="Times New Roman" w:hAnsiTheme="minorHAnsi" w:cstheme="minorHAnsi"/>
                      <w:color w:val="000000"/>
                      <w:sz w:val="20"/>
                      <w:szCs w:val="20"/>
                      <w:lang w:eastAsia="cs-CZ"/>
                    </w:rPr>
                  </w:pPr>
                  <w:r>
                    <w:rPr>
                      <w:rFonts w:asciiTheme="minorHAnsi" w:eastAsia="Times New Roman" w:hAnsiTheme="minorHAnsi" w:cstheme="minorHAnsi"/>
                      <w:color w:val="000000"/>
                      <w:sz w:val="20"/>
                      <w:szCs w:val="20"/>
                      <w:lang w:eastAsia="cs-CZ"/>
                    </w:rPr>
                    <w:t>MF/UF   ↓</w:t>
                  </w:r>
                </w:p>
              </w:tc>
            </w:tr>
            <w:tr w:rsidR="00287B1D">
              <w:trPr>
                <w:trHeight w:val="283"/>
              </w:trPr>
              <w:tc>
                <w:tcPr>
                  <w:tcW w:w="949" w:type="dxa"/>
                  <w:tcBorders>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eastAsia="Times New Roman" w:cs="Calibri"/>
                      <w:b/>
                      <w:bCs/>
                      <w:color w:val="FF0000"/>
                      <w:sz w:val="12"/>
                      <w:szCs w:val="12"/>
                      <w:lang w:eastAsia="cs-CZ"/>
                    </w:rPr>
                  </w:pPr>
                  <w:r>
                    <w:rPr>
                      <w:rFonts w:eastAsia="Times New Roman" w:cs="Calibri"/>
                      <w:b/>
                      <w:bCs/>
                      <w:color w:val="FF0000"/>
                      <w:sz w:val="12"/>
                      <w:szCs w:val="12"/>
                      <w:lang w:eastAsia="cs-CZ"/>
                    </w:rPr>
                    <w:t>CP21-008</w:t>
                  </w:r>
                </w:p>
              </w:tc>
              <w:tc>
                <w:tcPr>
                  <w:tcW w:w="2814"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4"/>
                      <w:szCs w:val="14"/>
                      <w:lang w:eastAsia="cs-CZ"/>
                    </w:rPr>
                  </w:pPr>
                  <w:r>
                    <w:rPr>
                      <w:rFonts w:ascii="Calibri" w:eastAsia="Times New Roman" w:hAnsi="Calibri" w:cs="Calibri"/>
                      <w:color w:val="000000"/>
                      <w:sz w:val="14"/>
                      <w:szCs w:val="14"/>
                      <w:lang w:eastAsia="cs-CZ"/>
                    </w:rPr>
                    <w:t>AQ3 Mini – Basic/Standard/</w:t>
                  </w:r>
                  <w:r>
                    <w:rPr>
                      <w:rFonts w:ascii="Calibri" w:eastAsia="Times New Roman" w:hAnsi="Calibri" w:cs="Calibri"/>
                      <w:color w:val="CC00FF"/>
                      <w:sz w:val="14"/>
                      <w:szCs w:val="14"/>
                      <w:lang w:eastAsia="cs-CZ"/>
                    </w:rPr>
                    <w:t>Exclusive/Café</w:t>
                  </w:r>
                </w:p>
              </w:tc>
              <w:tc>
                <w:tcPr>
                  <w:tcW w:w="2862"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5"/>
                      <w:szCs w:val="15"/>
                      <w:lang w:eastAsia="cs-CZ"/>
                    </w:rPr>
                  </w:pPr>
                  <w:r>
                    <w:rPr>
                      <w:rFonts w:ascii="Calibri" w:eastAsia="Times New Roman" w:hAnsi="Calibri" w:cs="Calibri"/>
                      <w:color w:val="000000"/>
                      <w:sz w:val="15"/>
                      <w:szCs w:val="15"/>
                      <w:lang w:eastAsia="cs-CZ"/>
                    </w:rPr>
                    <w:t>Izotopy, nuklidy - snížení</w:t>
                  </w:r>
                </w:p>
              </w:tc>
              <w:tc>
                <w:tcPr>
                  <w:tcW w:w="101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20"/>
                      <w:szCs w:val="20"/>
                      <w:lang w:eastAsia="cs-CZ"/>
                    </w:rPr>
                  </w:pPr>
                  <w:r>
                    <w:rPr>
                      <w:rFonts w:ascii="Calibri" w:eastAsia="Times New Roman" w:hAnsi="Calibri" w:cs="Calibri"/>
                      <w:color w:val="000000"/>
                      <w:sz w:val="20"/>
                      <w:szCs w:val="20"/>
                      <w:lang w:eastAsia="cs-CZ"/>
                    </w:rPr>
                    <w:t>TMC</w:t>
                  </w:r>
                  <w:r>
                    <w:rPr>
                      <w:rFonts w:ascii="Calibri" w:eastAsia="Times New Roman" w:hAnsi="Calibri" w:cs="Calibri"/>
                      <w:color w:val="000000"/>
                      <w:sz w:val="20"/>
                      <w:szCs w:val="20"/>
                      <w:vertAlign w:val="superscript"/>
                      <w:lang w:eastAsia="cs-CZ"/>
                    </w:rPr>
                    <w:t>8)</w:t>
                  </w:r>
                </w:p>
              </w:tc>
              <w:tc>
                <w:tcPr>
                  <w:tcW w:w="229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Theme="minorHAnsi" w:eastAsia="Times New Roman" w:hAnsiTheme="minorHAnsi" w:cstheme="minorHAnsi"/>
                      <w:color w:val="000000"/>
                      <w:sz w:val="20"/>
                      <w:szCs w:val="20"/>
                      <w:lang w:eastAsia="cs-CZ"/>
                    </w:rPr>
                  </w:pPr>
                  <w:r>
                    <w:rPr>
                      <w:rFonts w:asciiTheme="minorHAnsi" w:eastAsia="Times New Roman" w:hAnsiTheme="minorHAnsi" w:cstheme="minorHAnsi"/>
                      <w:color w:val="000000"/>
                      <w:sz w:val="20"/>
                      <w:szCs w:val="20"/>
                      <w:lang w:eastAsia="cs-CZ"/>
                    </w:rPr>
                    <w:t>SHG_ C70+  ↓</w:t>
                  </w:r>
                </w:p>
              </w:tc>
            </w:tr>
            <w:tr w:rsidR="00287B1D">
              <w:trPr>
                <w:trHeight w:val="225"/>
              </w:trPr>
              <w:tc>
                <w:tcPr>
                  <w:tcW w:w="949" w:type="dxa"/>
                  <w:tcBorders>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eastAsia="Times New Roman" w:cs="Calibri"/>
                      <w:b/>
                      <w:bCs/>
                      <w:color w:val="FF0000"/>
                      <w:sz w:val="12"/>
                      <w:szCs w:val="12"/>
                      <w:lang w:eastAsia="cs-CZ"/>
                    </w:rPr>
                  </w:pPr>
                  <w:r>
                    <w:rPr>
                      <w:rFonts w:eastAsia="Times New Roman" w:cs="Calibri"/>
                      <w:b/>
                      <w:bCs/>
                      <w:color w:val="FF0000"/>
                      <w:sz w:val="12"/>
                      <w:szCs w:val="12"/>
                      <w:lang w:eastAsia="cs-CZ"/>
                    </w:rPr>
                    <w:t>CP21-009</w:t>
                  </w:r>
                </w:p>
              </w:tc>
              <w:tc>
                <w:tcPr>
                  <w:tcW w:w="2814"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4"/>
                      <w:szCs w:val="14"/>
                      <w:lang w:eastAsia="cs-CZ"/>
                    </w:rPr>
                  </w:pPr>
                  <w:r>
                    <w:rPr>
                      <w:rFonts w:ascii="Calibri" w:eastAsia="Times New Roman" w:hAnsi="Calibri" w:cs="Calibri"/>
                      <w:color w:val="000000"/>
                      <w:sz w:val="14"/>
                      <w:szCs w:val="14"/>
                      <w:lang w:eastAsia="cs-CZ"/>
                    </w:rPr>
                    <w:t>AQ3 Mini – Basic/Standard/</w:t>
                  </w:r>
                  <w:r>
                    <w:rPr>
                      <w:rFonts w:ascii="Calibri" w:eastAsia="Times New Roman" w:hAnsi="Calibri" w:cs="Calibri"/>
                      <w:color w:val="CC00FF"/>
                      <w:sz w:val="14"/>
                      <w:szCs w:val="14"/>
                      <w:lang w:eastAsia="cs-CZ"/>
                    </w:rPr>
                    <w:t>Exclusive/Café</w:t>
                  </w:r>
                </w:p>
              </w:tc>
              <w:tc>
                <w:tcPr>
                  <w:tcW w:w="2862"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5"/>
                      <w:szCs w:val="15"/>
                      <w:lang w:eastAsia="cs-CZ"/>
                    </w:rPr>
                  </w:pPr>
                  <w:r>
                    <w:rPr>
                      <w:rFonts w:ascii="Calibri" w:eastAsia="Times New Roman" w:hAnsi="Calibri" w:cs="Calibri"/>
                      <w:color w:val="000000"/>
                      <w:sz w:val="15"/>
                      <w:szCs w:val="15"/>
                      <w:lang w:eastAsia="cs-CZ"/>
                    </w:rPr>
                    <w:t>Dusičnany, dusitany, sírany - snížení</w:t>
                  </w:r>
                </w:p>
              </w:tc>
              <w:tc>
                <w:tcPr>
                  <w:tcW w:w="101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20"/>
                      <w:szCs w:val="20"/>
                      <w:lang w:eastAsia="cs-CZ"/>
                    </w:rPr>
                  </w:pPr>
                  <w:r>
                    <w:rPr>
                      <w:rFonts w:ascii="Calibri" w:eastAsia="Times New Roman" w:hAnsi="Calibri" w:cs="Calibri"/>
                      <w:color w:val="000000"/>
                      <w:sz w:val="20"/>
                      <w:szCs w:val="20"/>
                      <w:lang w:eastAsia="cs-CZ"/>
                    </w:rPr>
                    <w:t>PPA2</w:t>
                  </w:r>
                  <w:r>
                    <w:rPr>
                      <w:rFonts w:ascii="Calibri" w:eastAsia="Times New Roman" w:hAnsi="Calibri" w:cs="Calibri"/>
                      <w:color w:val="000000"/>
                      <w:sz w:val="20"/>
                      <w:szCs w:val="20"/>
                      <w:vertAlign w:val="superscript"/>
                      <w:lang w:eastAsia="cs-CZ"/>
                    </w:rPr>
                    <w:t>9)</w:t>
                  </w:r>
                </w:p>
              </w:tc>
              <w:tc>
                <w:tcPr>
                  <w:tcW w:w="229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rPr>
                      <w:rFonts w:asciiTheme="minorHAnsi" w:hAnsiTheme="minorHAnsi" w:cstheme="minorHAnsi"/>
                      <w:sz w:val="20"/>
                      <w:szCs w:val="20"/>
                    </w:rPr>
                  </w:pPr>
                  <w:r>
                    <w:rPr>
                      <w:rFonts w:asciiTheme="minorHAnsi" w:hAnsiTheme="minorHAnsi" w:cstheme="minorHAnsi"/>
                      <w:sz w:val="20"/>
                      <w:szCs w:val="20"/>
                    </w:rPr>
                    <w:t>NO</w:t>
                  </w:r>
                  <w:r>
                    <w:rPr>
                      <w:rFonts w:asciiTheme="minorHAnsi" w:hAnsiTheme="minorHAnsi" w:cstheme="minorHAnsi"/>
                      <w:sz w:val="20"/>
                      <w:szCs w:val="20"/>
                      <w:vertAlign w:val="subscript"/>
                    </w:rPr>
                    <w:t>3</w:t>
                  </w:r>
                  <w:r>
                    <w:rPr>
                      <w:rFonts w:asciiTheme="minorHAnsi" w:hAnsiTheme="minorHAnsi" w:cstheme="minorHAnsi"/>
                      <w:sz w:val="20"/>
                      <w:szCs w:val="20"/>
                    </w:rPr>
                    <w:t>-, NO</w:t>
                  </w:r>
                  <w:r>
                    <w:rPr>
                      <w:rFonts w:asciiTheme="minorHAnsi" w:hAnsiTheme="minorHAnsi" w:cstheme="minorHAnsi"/>
                      <w:sz w:val="20"/>
                      <w:szCs w:val="20"/>
                      <w:vertAlign w:val="subscript"/>
                    </w:rPr>
                    <w:t>2</w:t>
                  </w:r>
                  <w:r>
                    <w:rPr>
                      <w:rFonts w:asciiTheme="minorHAnsi" w:hAnsiTheme="minorHAnsi" w:cstheme="minorHAnsi"/>
                      <w:sz w:val="20"/>
                      <w:szCs w:val="20"/>
                    </w:rPr>
                    <w:t>-, SO₄²⁻</w:t>
                  </w:r>
                  <w:r>
                    <w:rPr>
                      <w:rFonts w:asciiTheme="minorHAnsi" w:eastAsia="Times New Roman" w:hAnsiTheme="minorHAnsi" w:cstheme="minorHAnsi"/>
                      <w:color w:val="202124"/>
                      <w:sz w:val="20"/>
                      <w:szCs w:val="20"/>
                      <w:lang w:eastAsia="cs-CZ"/>
                    </w:rPr>
                    <w:t>↓</w:t>
                  </w:r>
                </w:p>
              </w:tc>
            </w:tr>
            <w:tr w:rsidR="00287B1D">
              <w:trPr>
                <w:trHeight w:val="283"/>
              </w:trPr>
              <w:tc>
                <w:tcPr>
                  <w:tcW w:w="94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eastAsia="Times New Roman" w:cs="Calibri"/>
                      <w:b/>
                      <w:bCs/>
                      <w:color w:val="FF0000"/>
                      <w:sz w:val="12"/>
                      <w:szCs w:val="12"/>
                      <w:lang w:eastAsia="cs-CZ"/>
                    </w:rPr>
                  </w:pPr>
                  <w:r>
                    <w:rPr>
                      <w:rFonts w:eastAsia="Times New Roman" w:cs="Calibri"/>
                      <w:b/>
                      <w:bCs/>
                      <w:color w:val="FF0000"/>
                      <w:sz w:val="12"/>
                      <w:szCs w:val="12"/>
                      <w:lang w:eastAsia="cs-CZ"/>
                    </w:rPr>
                    <w:t>CP21-010</w:t>
                  </w:r>
                </w:p>
              </w:tc>
              <w:tc>
                <w:tcPr>
                  <w:tcW w:w="2814" w:type="dxa"/>
                  <w:tcBorders>
                    <w:top w:val="single" w:sz="4" w:space="0" w:color="000000"/>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4"/>
                      <w:szCs w:val="14"/>
                      <w:lang w:eastAsia="cs-CZ"/>
                    </w:rPr>
                  </w:pPr>
                  <w:r>
                    <w:rPr>
                      <w:rFonts w:ascii="Calibri" w:eastAsia="Times New Roman" w:hAnsi="Calibri" w:cs="Calibri"/>
                      <w:color w:val="000000"/>
                      <w:sz w:val="14"/>
                      <w:szCs w:val="14"/>
                      <w:lang w:eastAsia="cs-CZ"/>
                    </w:rPr>
                    <w:t>AQ3 Mini – Basic/Standard/</w:t>
                  </w:r>
                  <w:r>
                    <w:rPr>
                      <w:rFonts w:ascii="Calibri" w:eastAsia="Times New Roman" w:hAnsi="Calibri" w:cs="Calibri"/>
                      <w:color w:val="CC00FF"/>
                      <w:sz w:val="14"/>
                      <w:szCs w:val="14"/>
                      <w:lang w:eastAsia="cs-CZ"/>
                    </w:rPr>
                    <w:t>Exclusive/Café</w:t>
                  </w:r>
                </w:p>
              </w:tc>
              <w:tc>
                <w:tcPr>
                  <w:tcW w:w="2862"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5"/>
                      <w:szCs w:val="15"/>
                      <w:lang w:eastAsia="cs-CZ"/>
                    </w:rPr>
                  </w:pPr>
                  <w:r>
                    <w:rPr>
                      <w:rFonts w:ascii="Calibri" w:eastAsia="Times New Roman" w:hAnsi="Calibri" w:cs="Calibri"/>
                      <w:color w:val="000000"/>
                      <w:sz w:val="15"/>
                      <w:szCs w:val="15"/>
                      <w:lang w:eastAsia="cs-CZ"/>
                    </w:rPr>
                    <w:t>Ztvrzování vody - zvýšení</w:t>
                  </w:r>
                </w:p>
              </w:tc>
              <w:tc>
                <w:tcPr>
                  <w:tcW w:w="101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20"/>
                      <w:szCs w:val="20"/>
                      <w:lang w:eastAsia="cs-CZ"/>
                    </w:rPr>
                  </w:pPr>
                  <w:r>
                    <w:rPr>
                      <w:rFonts w:ascii="Calibri" w:eastAsia="Times New Roman" w:hAnsi="Calibri" w:cs="Calibri"/>
                      <w:color w:val="000000"/>
                      <w:sz w:val="20"/>
                      <w:szCs w:val="20"/>
                      <w:lang w:eastAsia="cs-CZ"/>
                    </w:rPr>
                    <w:t>SMD_K0</w:t>
                  </w:r>
                  <w:r>
                    <w:rPr>
                      <w:rFonts w:ascii="Calibri" w:eastAsia="Times New Roman" w:hAnsi="Calibri" w:cs="Calibri"/>
                      <w:color w:val="000000"/>
                      <w:sz w:val="20"/>
                      <w:szCs w:val="20"/>
                      <w:vertAlign w:val="superscript"/>
                      <w:lang w:eastAsia="cs-CZ"/>
                    </w:rPr>
                    <w:t>10)</w:t>
                  </w:r>
                </w:p>
              </w:tc>
              <w:tc>
                <w:tcPr>
                  <w:tcW w:w="229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Theme="minorHAnsi" w:eastAsia="Times New Roman" w:hAnsiTheme="minorHAnsi" w:cstheme="minorHAnsi"/>
                      <w:color w:val="202124"/>
                      <w:sz w:val="20"/>
                      <w:szCs w:val="20"/>
                      <w:lang w:eastAsia="cs-CZ"/>
                    </w:rPr>
                  </w:pPr>
                  <w:r>
                    <w:rPr>
                      <w:rFonts w:asciiTheme="minorHAnsi" w:eastAsia="Times New Roman" w:hAnsiTheme="minorHAnsi" w:cstheme="minorHAnsi"/>
                      <w:color w:val="202124"/>
                      <w:sz w:val="20"/>
                      <w:szCs w:val="20"/>
                      <w:lang w:eastAsia="cs-CZ"/>
                    </w:rPr>
                    <w:t>CaCO</w:t>
                  </w:r>
                  <w:r>
                    <w:rPr>
                      <w:rFonts w:asciiTheme="minorHAnsi" w:eastAsia="Times New Roman" w:hAnsiTheme="minorHAnsi" w:cstheme="minorHAnsi"/>
                      <w:color w:val="202124"/>
                      <w:sz w:val="20"/>
                      <w:szCs w:val="20"/>
                      <w:vertAlign w:val="subscript"/>
                      <w:lang w:eastAsia="cs-CZ"/>
                    </w:rPr>
                    <w:t xml:space="preserve">3 </w:t>
                  </w:r>
                  <w:r>
                    <w:rPr>
                      <w:rFonts w:asciiTheme="minorHAnsi" w:eastAsia="Times New Roman" w:hAnsiTheme="minorHAnsi" w:cstheme="minorHAnsi"/>
                      <w:color w:val="202124"/>
                      <w:sz w:val="20"/>
                      <w:szCs w:val="20"/>
                      <w:lang w:eastAsia="cs-CZ"/>
                    </w:rPr>
                    <w:t>+ MgO   ↑</w:t>
                  </w:r>
                </w:p>
              </w:tc>
            </w:tr>
          </w:tbl>
          <w:p w:rsidR="00287B1D" w:rsidRDefault="00BB6CB9">
            <w:pPr>
              <w:spacing w:after="0" w:line="240" w:lineRule="auto"/>
              <w:rPr>
                <w:rFonts w:eastAsia="Times New Roman" w:cs="Calibri"/>
                <w:b/>
                <w:bCs/>
                <w:sz w:val="13"/>
                <w:szCs w:val="13"/>
                <w:lang w:eastAsia="cs-CZ"/>
              </w:rPr>
            </w:pPr>
            <w:r>
              <w:rPr>
                <w:rFonts w:ascii="Calibri" w:eastAsia="Times New Roman" w:hAnsi="Calibri" w:cs="Calibri"/>
                <w:b/>
                <w:bCs/>
                <w:sz w:val="13"/>
                <w:szCs w:val="13"/>
                <w:lang w:eastAsia="cs-CZ"/>
              </w:rPr>
              <w:t xml:space="preserve">                      </w:t>
            </w:r>
            <w:r>
              <w:rPr>
                <w:rFonts w:eastAsia="Times New Roman" w:cs="Calibri"/>
                <w:b/>
                <w:bCs/>
                <w:sz w:val="13"/>
                <w:szCs w:val="13"/>
                <w:lang w:eastAsia="cs-CZ"/>
              </w:rPr>
              <w:t xml:space="preserve"> </w:t>
            </w:r>
          </w:p>
          <w:p w:rsidR="00287B1D" w:rsidRDefault="00BB6CB9">
            <w:pPr>
              <w:pStyle w:val="Odstavecseseznamem"/>
              <w:spacing w:after="0" w:line="240" w:lineRule="auto"/>
              <w:ind w:left="0"/>
              <w:rPr>
                <w:sz w:val="10"/>
                <w:szCs w:val="10"/>
              </w:rPr>
            </w:pPr>
            <w:r>
              <w:rPr>
                <w:sz w:val="10"/>
                <w:szCs w:val="10"/>
              </w:rPr>
              <w:t>CP21-001_PPC2 - je navržen pro odstranění tvrdosti Ca + Mg z vody, jedná se o proces iontovýměny vápníku a hořčíku za sodík*</w:t>
            </w:r>
          </w:p>
          <w:p w:rsidR="00287B1D" w:rsidRDefault="00BB6CB9">
            <w:pPr>
              <w:spacing w:after="0" w:line="240" w:lineRule="auto"/>
              <w:rPr>
                <w:sz w:val="10"/>
                <w:szCs w:val="10"/>
              </w:rPr>
            </w:pPr>
            <w:r>
              <w:rPr>
                <w:sz w:val="10"/>
                <w:szCs w:val="10"/>
              </w:rPr>
              <w:t>CP21-002_LT60 - je navržen tak, aby snižoval v dodávkách pitné vody arzenovou kontaminaci a splňoval přísné legislativní požadavky</w:t>
            </w:r>
          </w:p>
          <w:p w:rsidR="00287B1D" w:rsidRDefault="00BB6CB9">
            <w:pPr>
              <w:pStyle w:val="Odstavecseseznamem"/>
              <w:spacing w:after="0" w:line="240" w:lineRule="auto"/>
              <w:ind w:left="0"/>
              <w:rPr>
                <w:sz w:val="10"/>
                <w:szCs w:val="10"/>
              </w:rPr>
            </w:pPr>
            <w:r>
              <w:rPr>
                <w:sz w:val="10"/>
                <w:szCs w:val="10"/>
              </w:rPr>
              <w:t>CP21-003</w:t>
            </w:r>
            <w:r>
              <w:rPr>
                <w:strike/>
                <w:sz w:val="10"/>
                <w:szCs w:val="10"/>
              </w:rPr>
              <w:t>_</w:t>
            </w:r>
            <w:r>
              <w:rPr>
                <w:sz w:val="10"/>
                <w:szCs w:val="10"/>
              </w:rPr>
              <w:t>ECM_P - je navržen pro změkčení vody, pro odstranění železa a manganu</w:t>
            </w:r>
          </w:p>
          <w:p w:rsidR="00287B1D" w:rsidRDefault="00BB6CB9">
            <w:pPr>
              <w:pStyle w:val="Odstavecseseznamem"/>
              <w:spacing w:after="0" w:line="240" w:lineRule="auto"/>
              <w:ind w:left="0"/>
              <w:rPr>
                <w:sz w:val="10"/>
                <w:szCs w:val="10"/>
              </w:rPr>
            </w:pPr>
            <w:r>
              <w:rPr>
                <w:sz w:val="10"/>
                <w:szCs w:val="10"/>
              </w:rPr>
              <w:t>CP21-004_ECM_A - je navržen pro změkčení vody, odstranění železa, manganu, amonných iontů, snížení zákalu a obsahu organických látek</w:t>
            </w:r>
          </w:p>
          <w:p w:rsidR="00287B1D" w:rsidRDefault="00BB6CB9">
            <w:pPr>
              <w:pStyle w:val="Odstavecseseznamem"/>
              <w:spacing w:after="0" w:line="240" w:lineRule="auto"/>
              <w:ind w:left="0"/>
              <w:rPr>
                <w:sz w:val="10"/>
                <w:szCs w:val="10"/>
              </w:rPr>
            </w:pPr>
            <w:r>
              <w:rPr>
                <w:sz w:val="10"/>
                <w:szCs w:val="10"/>
              </w:rPr>
              <w:t>CP21-005_CRS_X - je navržen k výrazným úpravám pH vody, neutralizuje kyselou vodu pětkrát účinněji</w:t>
            </w:r>
          </w:p>
          <w:p w:rsidR="00287B1D" w:rsidRDefault="00BB6CB9">
            <w:pPr>
              <w:spacing w:after="0" w:line="240" w:lineRule="auto"/>
              <w:rPr>
                <w:sz w:val="10"/>
                <w:szCs w:val="10"/>
              </w:rPr>
            </w:pPr>
            <w:r>
              <w:rPr>
                <w:sz w:val="10"/>
                <w:szCs w:val="10"/>
              </w:rPr>
              <w:t xml:space="preserve">CP21-006_CCT_E - je navržen k neutralizaci vody s nízkým pH, neutrální voda zabraňuje uvolňování mědi, olova a dalších kovů, vyskytujících se běžně ve vodovodním potrubí, </w:t>
            </w:r>
          </w:p>
          <w:p w:rsidR="00287B1D" w:rsidRDefault="00BB6CB9">
            <w:pPr>
              <w:pStyle w:val="Odstavecseseznamem"/>
              <w:spacing w:after="0" w:line="240" w:lineRule="auto"/>
              <w:ind w:left="0"/>
              <w:rPr>
                <w:sz w:val="10"/>
                <w:szCs w:val="10"/>
              </w:rPr>
            </w:pPr>
            <w:r>
              <w:rPr>
                <w:sz w:val="10"/>
                <w:szCs w:val="10"/>
              </w:rPr>
              <w:t>výhodou je samoregulační vlastnost, díky které dochází k úpravě pH pouze do dosažení rovnováhy, kdy už nedochází ke korozivním procesům</w:t>
            </w:r>
          </w:p>
          <w:p w:rsidR="00287B1D" w:rsidRDefault="00BB6CB9">
            <w:pPr>
              <w:pStyle w:val="Odstavecseseznamem"/>
              <w:spacing w:after="0" w:line="240" w:lineRule="auto"/>
              <w:ind w:left="0"/>
              <w:rPr>
                <w:sz w:val="10"/>
                <w:szCs w:val="10"/>
              </w:rPr>
            </w:pPr>
            <w:r>
              <w:rPr>
                <w:sz w:val="10"/>
                <w:szCs w:val="10"/>
              </w:rPr>
              <w:t>CP21-007_SNT_X - je navržen tak, aby snižoval zákal, pomocí unikátní kombinace motaných PP vláken, obalených porézním nanomateriálem</w:t>
            </w:r>
          </w:p>
          <w:p w:rsidR="00287B1D" w:rsidRDefault="00BB6CB9">
            <w:pPr>
              <w:pStyle w:val="Odstavecseseznamem"/>
              <w:spacing w:after="0" w:line="240" w:lineRule="auto"/>
              <w:ind w:left="0"/>
              <w:rPr>
                <w:sz w:val="10"/>
                <w:szCs w:val="10"/>
              </w:rPr>
            </w:pPr>
            <w:r>
              <w:rPr>
                <w:sz w:val="10"/>
                <w:szCs w:val="10"/>
              </w:rPr>
              <w:t>CP21-008_TMC - je navržen tak, aby sorpční materiál efektivně zachycoval izotopy, nuklidy, vyskytující se v přírodních vodách</w:t>
            </w:r>
          </w:p>
          <w:p w:rsidR="00287B1D" w:rsidRDefault="00BB6CB9">
            <w:pPr>
              <w:pStyle w:val="Odstavecseseznamem"/>
              <w:spacing w:after="0" w:line="240" w:lineRule="auto"/>
              <w:ind w:left="0"/>
              <w:rPr>
                <w:sz w:val="10"/>
                <w:szCs w:val="10"/>
              </w:rPr>
            </w:pPr>
            <w:r>
              <w:rPr>
                <w:sz w:val="10"/>
                <w:szCs w:val="10"/>
              </w:rPr>
              <w:t>CP21-009_PPA2 - je navržen pro selektivní odstraňování iontů dusičnanu z vody. Jedná se o proces iontovýměny. Ionty dusičnanů se vyměňují za ionty chloridů</w:t>
            </w:r>
          </w:p>
          <w:p w:rsidR="00287B1D" w:rsidRDefault="00BB6CB9">
            <w:pPr>
              <w:pStyle w:val="Odstavecseseznamem"/>
              <w:spacing w:after="0" w:line="240" w:lineRule="auto"/>
              <w:ind w:left="0"/>
              <w:rPr>
                <w:sz w:val="10"/>
                <w:szCs w:val="10"/>
              </w:rPr>
            </w:pPr>
            <w:r>
              <w:rPr>
                <w:sz w:val="10"/>
                <w:szCs w:val="10"/>
              </w:rPr>
              <w:t xml:space="preserve">CP21-010_SMD_K0 - je navržen pro odkyselení, zvýšení pH pitné vody, snížení agresivity vody, odstranění volného oxidu uhličitého, obohacování </w:t>
            </w:r>
            <w:proofErr w:type="gramStart"/>
            <w:r>
              <w:rPr>
                <w:sz w:val="10"/>
                <w:szCs w:val="10"/>
              </w:rPr>
              <w:t>nebo-li ztvrzování</w:t>
            </w:r>
            <w:proofErr w:type="gramEnd"/>
            <w:r>
              <w:rPr>
                <w:sz w:val="10"/>
                <w:szCs w:val="10"/>
              </w:rPr>
              <w:t xml:space="preserve"> vody - zvýšení obsahu vápníku a hořčíku</w:t>
            </w:r>
          </w:p>
          <w:p w:rsidR="00287B1D" w:rsidRDefault="00287B1D">
            <w:pPr>
              <w:spacing w:after="0" w:line="240" w:lineRule="auto"/>
              <w:rPr>
                <w:sz w:val="10"/>
                <w:szCs w:val="10"/>
              </w:rPr>
            </w:pPr>
          </w:p>
          <w:p w:rsidR="00287B1D" w:rsidRDefault="00BB6CB9">
            <w:pPr>
              <w:pStyle w:val="Odstavecseseznamem"/>
              <w:spacing w:after="0" w:line="240" w:lineRule="auto"/>
              <w:ind w:left="0"/>
              <w:rPr>
                <w:sz w:val="10"/>
                <w:szCs w:val="10"/>
              </w:rPr>
            </w:pPr>
            <w:r>
              <w:rPr>
                <w:sz w:val="10"/>
                <w:szCs w:val="10"/>
              </w:rPr>
              <w:t>*bez upřesnění typu balíčku v objednávce, dodáváme v základu toto provedení, dodanou kombinaci lze kdykoli změnit</w:t>
            </w:r>
          </w:p>
          <w:p w:rsidR="00287B1D" w:rsidRDefault="00BB6CB9">
            <w:pPr>
              <w:spacing w:after="0" w:line="240" w:lineRule="auto"/>
              <w:rPr>
                <w:sz w:val="10"/>
                <w:szCs w:val="10"/>
              </w:rPr>
            </w:pPr>
            <w:r>
              <w:rPr>
                <w:sz w:val="10"/>
                <w:szCs w:val="10"/>
              </w:rPr>
              <w:t>Pozn. V základu dodáváme vložku motaného progresivního filtru s porozitou 5 µm</w:t>
            </w:r>
          </w:p>
          <w:p w:rsidR="00287B1D" w:rsidRDefault="00287B1D">
            <w:pPr>
              <w:spacing w:after="0" w:line="240" w:lineRule="auto"/>
              <w:ind w:left="360"/>
              <w:rPr>
                <w:sz w:val="10"/>
                <w:szCs w:val="10"/>
              </w:rPr>
            </w:pPr>
          </w:p>
          <w:p w:rsidR="00287B1D" w:rsidRDefault="00BB6CB9">
            <w:pPr>
              <w:spacing w:after="0" w:line="240" w:lineRule="auto"/>
              <w:rPr>
                <w:rStyle w:val="Internetovodkaz"/>
                <w:rFonts w:eastAsia="Times New Roman" w:cs="Calibri"/>
                <w:bCs/>
                <w:sz w:val="14"/>
                <w:szCs w:val="14"/>
                <w:lang w:eastAsia="cs-CZ"/>
              </w:rPr>
            </w:pPr>
            <w:proofErr w:type="gramStart"/>
            <w:r>
              <w:rPr>
                <w:rFonts w:eastAsia="Times New Roman" w:cs="Calibri"/>
                <w:bCs/>
                <w:sz w:val="14"/>
                <w:szCs w:val="14"/>
                <w:lang w:eastAsia="cs-CZ"/>
              </w:rPr>
              <w:t>Obr.37</w:t>
            </w:r>
            <w:proofErr w:type="gramEnd"/>
            <w:r>
              <w:rPr>
                <w:rFonts w:eastAsia="Times New Roman" w:cs="Calibri"/>
                <w:bCs/>
                <w:sz w:val="14"/>
                <w:szCs w:val="14"/>
                <w:lang w:eastAsia="cs-CZ"/>
              </w:rPr>
              <w:t xml:space="preserve">; </w:t>
            </w:r>
            <w:proofErr w:type="gramStart"/>
            <w:r>
              <w:rPr>
                <w:rFonts w:eastAsia="Times New Roman" w:cs="Calibri"/>
                <w:bCs/>
                <w:sz w:val="14"/>
                <w:szCs w:val="14"/>
                <w:lang w:eastAsia="cs-CZ"/>
              </w:rPr>
              <w:t xml:space="preserve">Tab.2 </w:t>
            </w:r>
            <w:r>
              <w:rPr>
                <w:rFonts w:ascii="Arial" w:eastAsia="Times New Roman" w:hAnsi="Arial" w:cs="Arial"/>
                <w:bCs/>
                <w:sz w:val="14"/>
                <w:szCs w:val="14"/>
                <w:lang w:eastAsia="cs-CZ"/>
              </w:rPr>
              <w:t>↑</w:t>
            </w:r>
            <w:r>
              <w:rPr>
                <w:rFonts w:eastAsia="Times New Roman" w:cs="Calibri"/>
                <w:bCs/>
                <w:sz w:val="14"/>
                <w:szCs w:val="14"/>
                <w:lang w:eastAsia="cs-CZ"/>
              </w:rPr>
              <w:t xml:space="preserve"> Vzor</w:t>
            </w:r>
            <w:proofErr w:type="gramEnd"/>
            <w:r>
              <w:rPr>
                <w:rFonts w:eastAsia="Times New Roman" w:cs="Calibri"/>
                <w:bCs/>
                <w:sz w:val="14"/>
                <w:szCs w:val="14"/>
                <w:lang w:eastAsia="cs-CZ"/>
              </w:rPr>
              <w:t xml:space="preserve"> pro objednávání variant balíčků, více na  </w:t>
            </w:r>
            <w:hyperlink r:id="rId360">
              <w:r>
                <w:rPr>
                  <w:rStyle w:val="Internetovodkaz"/>
                  <w:rFonts w:eastAsia="Times New Roman" w:cs="Calibri"/>
                  <w:bCs/>
                  <w:sz w:val="14"/>
                  <w:szCs w:val="14"/>
                  <w:lang w:eastAsia="cs-CZ"/>
                </w:rPr>
                <w:t>http://www.vti-cz.com/ke-stazeni/dokumenty-ke-stazeni-31</w:t>
              </w:r>
            </w:hyperlink>
          </w:p>
          <w:p w:rsidR="00287B1D" w:rsidRDefault="00287B1D">
            <w:pPr>
              <w:spacing w:after="0" w:line="240" w:lineRule="auto"/>
              <w:rPr>
                <w:rFonts w:ascii="Calibri" w:eastAsia="Times New Roman" w:hAnsi="Calibri" w:cs="Calibri"/>
                <w:b/>
                <w:bCs/>
                <w:color w:val="000000"/>
                <w:sz w:val="16"/>
                <w:szCs w:val="16"/>
                <w:lang w:eastAsia="cs-CZ"/>
              </w:rPr>
            </w:pPr>
          </w:p>
        </w:tc>
        <w:tc>
          <w:tcPr>
            <w:tcW w:w="146" w:type="dxa"/>
            <w:shd w:val="clear" w:color="auto" w:fill="auto"/>
            <w:vAlign w:val="center"/>
          </w:tcPr>
          <w:p w:rsidR="00287B1D" w:rsidRDefault="00287B1D">
            <w:pPr>
              <w:spacing w:after="0" w:line="240" w:lineRule="auto"/>
              <w:rPr>
                <w:rFonts w:ascii="Calibri" w:eastAsia="Times New Roman" w:hAnsi="Calibri" w:cs="Calibri"/>
                <w:b/>
                <w:bCs/>
                <w:color w:val="000000"/>
                <w:sz w:val="16"/>
                <w:szCs w:val="16"/>
                <w:lang w:eastAsia="cs-CZ"/>
              </w:rPr>
            </w:pPr>
          </w:p>
        </w:tc>
        <w:tc>
          <w:tcPr>
            <w:tcW w:w="146" w:type="dxa"/>
            <w:shd w:val="clear" w:color="auto" w:fill="auto"/>
            <w:vAlign w:val="center"/>
          </w:tcPr>
          <w:p w:rsidR="00287B1D" w:rsidRDefault="00287B1D">
            <w:pPr>
              <w:spacing w:after="0" w:line="240" w:lineRule="auto"/>
              <w:rPr>
                <w:rFonts w:ascii="Calibri" w:eastAsia="Times New Roman" w:hAnsi="Calibri" w:cs="Calibri"/>
                <w:b/>
                <w:bCs/>
                <w:color w:val="000000"/>
                <w:sz w:val="16"/>
                <w:szCs w:val="16"/>
                <w:lang w:eastAsia="cs-CZ"/>
              </w:rPr>
            </w:pPr>
          </w:p>
        </w:tc>
        <w:tc>
          <w:tcPr>
            <w:tcW w:w="146" w:type="dxa"/>
          </w:tcPr>
          <w:p w:rsidR="00287B1D" w:rsidRDefault="00287B1D"/>
        </w:tc>
      </w:tr>
      <w:tr w:rsidR="00287B1D">
        <w:trPr>
          <w:trHeight w:val="300"/>
        </w:trPr>
        <w:tc>
          <w:tcPr>
            <w:tcW w:w="150" w:type="dxa"/>
          </w:tcPr>
          <w:p w:rsidR="00287B1D" w:rsidRDefault="00287B1D">
            <w:pPr>
              <w:tabs>
                <w:tab w:val="left" w:pos="205"/>
              </w:tabs>
            </w:pPr>
          </w:p>
        </w:tc>
        <w:tc>
          <w:tcPr>
            <w:tcW w:w="10259" w:type="dxa"/>
            <w:gridSpan w:val="2"/>
            <w:shd w:val="clear" w:color="000000" w:fill="FFFFFF"/>
            <w:vAlign w:val="bottom"/>
          </w:tcPr>
          <w:p w:rsidR="00287B1D" w:rsidRDefault="00BB6CB9">
            <w:pPr>
              <w:tabs>
                <w:tab w:val="left" w:pos="205"/>
              </w:tabs>
            </w:pPr>
            <w:r>
              <w:t xml:space="preserve">   </w:t>
            </w:r>
            <w:r>
              <w:rPr>
                <w:noProof/>
                <w:lang w:eastAsia="cs-CZ"/>
              </w:rPr>
              <w:drawing>
                <wp:inline distT="0" distB="0" distL="0" distR="0">
                  <wp:extent cx="5906770" cy="1162685"/>
                  <wp:effectExtent l="0" t="0" r="0" b="0"/>
                  <wp:docPr id="126" name="Obrázek 28" descr="C:\Users\VTI\AppData\Local\Microsoft\Windows\INetCache\Content.Outlook\129F6BZY\Servisní Balíče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Obrázek 28" descr="C:\Users\VTI\AppData\Local\Microsoft\Windows\INetCache\Content.Outlook\129F6BZY\Servisní Balíček (1).jpg"/>
                          <pic:cNvPicPr>
                            <a:picLocks noChangeAspect="1" noChangeArrowheads="1"/>
                          </pic:cNvPicPr>
                        </pic:nvPicPr>
                        <pic:blipFill>
                          <a:blip r:embed="rId361"/>
                          <a:stretch>
                            <a:fillRect/>
                          </a:stretch>
                        </pic:blipFill>
                        <pic:spPr bwMode="auto">
                          <a:xfrm>
                            <a:off x="0" y="0"/>
                            <a:ext cx="5906770" cy="1162685"/>
                          </a:xfrm>
                          <a:prstGeom prst="rect">
                            <a:avLst/>
                          </a:prstGeom>
                        </pic:spPr>
                      </pic:pic>
                    </a:graphicData>
                  </a:graphic>
                </wp:inline>
              </w:drawing>
            </w:r>
            <w:r>
              <w:t xml:space="preserve">    </w:t>
            </w:r>
          </w:p>
        </w:tc>
        <w:tc>
          <w:tcPr>
            <w:tcW w:w="146" w:type="dxa"/>
            <w:shd w:val="clear" w:color="000000" w:fill="FFFFFF"/>
            <w:vAlign w:val="bottom"/>
          </w:tcPr>
          <w:p w:rsidR="00287B1D" w:rsidRDefault="00287B1D"/>
        </w:tc>
        <w:tc>
          <w:tcPr>
            <w:tcW w:w="146" w:type="dxa"/>
            <w:shd w:val="clear" w:color="000000" w:fill="FFFFFF"/>
            <w:vAlign w:val="bottom"/>
          </w:tcPr>
          <w:p w:rsidR="00287B1D" w:rsidRDefault="00287B1D"/>
        </w:tc>
      </w:tr>
    </w:tbl>
    <w:p w:rsidR="00287B1D" w:rsidRDefault="00BB6CB9">
      <w:pPr>
        <w:ind w:left="-284" w:right="850"/>
        <w:rPr>
          <w:sz w:val="14"/>
          <w:szCs w:val="14"/>
        </w:rPr>
      </w:pPr>
      <w:r>
        <w:rPr>
          <w:sz w:val="14"/>
          <w:szCs w:val="14"/>
          <w:lang w:eastAsia="cs-CZ"/>
        </w:rPr>
        <w:t xml:space="preserve"> </w:t>
      </w:r>
      <w:proofErr w:type="gramStart"/>
      <w:r>
        <w:rPr>
          <w:sz w:val="14"/>
          <w:szCs w:val="14"/>
          <w:lang w:eastAsia="cs-CZ"/>
        </w:rPr>
        <w:t>Obr.38</w:t>
      </w:r>
      <w:proofErr w:type="gramEnd"/>
      <w:r>
        <w:rPr>
          <w:sz w:val="14"/>
          <w:szCs w:val="14"/>
          <w:lang w:eastAsia="cs-CZ"/>
        </w:rPr>
        <w:t xml:space="preserve">;  </w:t>
      </w:r>
      <w:proofErr w:type="gramStart"/>
      <w:r>
        <w:rPr>
          <w:sz w:val="14"/>
          <w:szCs w:val="14"/>
          <w:u w:val="single"/>
          <w:lang w:eastAsia="cs-CZ"/>
        </w:rPr>
        <w:t>Vzor</w:t>
      </w:r>
      <w:r>
        <w:rPr>
          <w:sz w:val="14"/>
          <w:szCs w:val="14"/>
          <w:lang w:eastAsia="cs-CZ"/>
        </w:rPr>
        <w:t xml:space="preserve">  základní</w:t>
      </w:r>
      <w:proofErr w:type="gramEnd"/>
      <w:r>
        <w:rPr>
          <w:sz w:val="14"/>
          <w:szCs w:val="14"/>
          <w:lang w:eastAsia="cs-CZ"/>
        </w:rPr>
        <w:t xml:space="preserve"> sestavy balíčku, pro  novou montáž i pro servis po 6ti měsíčních cyklech</w:t>
      </w:r>
      <w:r>
        <w:rPr>
          <w:color w:val="6600CC"/>
          <w:sz w:val="14"/>
          <w:szCs w:val="14"/>
        </w:rPr>
        <w:t xml:space="preserve">  nebo limitu průtoku, </w:t>
      </w:r>
      <w:r>
        <w:rPr>
          <w:sz w:val="14"/>
          <w:szCs w:val="14"/>
        </w:rPr>
        <w:t>dle      modelové řady</w:t>
      </w:r>
      <w:r>
        <w:rPr>
          <w:rFonts w:eastAsia="Times New Roman" w:cs="Times New Roman"/>
          <w:sz w:val="14"/>
          <w:szCs w:val="14"/>
          <w:lang w:eastAsia="cs-CZ"/>
        </w:rPr>
        <w:t>(</w:t>
      </w:r>
      <w:r>
        <w:rPr>
          <w:b/>
          <w:color w:val="6600CC"/>
          <w:sz w:val="14"/>
          <w:szCs w:val="14"/>
        </w:rPr>
        <w:t>Basic/Standard/</w:t>
      </w:r>
      <w:r>
        <w:rPr>
          <w:color w:val="6600CC"/>
          <w:sz w:val="14"/>
          <w:szCs w:val="14"/>
        </w:rPr>
        <w:t xml:space="preserve"> </w:t>
      </w:r>
      <w:r>
        <w:rPr>
          <w:b/>
          <w:color w:val="3333CC"/>
          <w:sz w:val="14"/>
          <w:szCs w:val="14"/>
        </w:rPr>
        <w:t>Exclusive</w:t>
      </w:r>
      <w:r>
        <w:rPr>
          <w:b/>
          <w:color w:val="6600FF"/>
          <w:sz w:val="14"/>
          <w:szCs w:val="14"/>
        </w:rPr>
        <w:t>/</w:t>
      </w:r>
      <w:r>
        <w:rPr>
          <w:b/>
          <w:color w:val="6600CC"/>
          <w:sz w:val="14"/>
          <w:szCs w:val="14"/>
        </w:rPr>
        <w:t>Café</w:t>
      </w:r>
      <w:r>
        <w:rPr>
          <w:color w:val="6600CC"/>
          <w:sz w:val="14"/>
          <w:szCs w:val="14"/>
        </w:rPr>
        <w:t xml:space="preserve"> </w:t>
      </w:r>
      <w:r>
        <w:rPr>
          <w:color w:val="6600FF"/>
          <w:sz w:val="14"/>
          <w:szCs w:val="14"/>
        </w:rPr>
        <w:t>Standard</w:t>
      </w:r>
      <w:r>
        <w:rPr>
          <w:color w:val="6600CC"/>
          <w:sz w:val="14"/>
          <w:szCs w:val="14"/>
        </w:rPr>
        <w:t>/</w:t>
      </w:r>
      <w:r>
        <w:rPr>
          <w:b/>
          <w:color w:val="6600CC"/>
          <w:sz w:val="14"/>
          <w:szCs w:val="14"/>
        </w:rPr>
        <w:t>Café</w:t>
      </w:r>
      <w:r>
        <w:rPr>
          <w:color w:val="6600CC"/>
          <w:sz w:val="14"/>
          <w:szCs w:val="14"/>
        </w:rPr>
        <w:t xml:space="preserve"> </w:t>
      </w:r>
      <w:r>
        <w:rPr>
          <w:color w:val="6600FF"/>
          <w:sz w:val="14"/>
          <w:szCs w:val="14"/>
        </w:rPr>
        <w:t xml:space="preserve">Exclusive </w:t>
      </w:r>
      <w:r>
        <w:rPr>
          <w:color w:val="FF0000"/>
          <w:sz w:val="14"/>
          <w:szCs w:val="14"/>
        </w:rPr>
        <w:t>č.CP21-001</w:t>
      </w:r>
      <w:r>
        <w:rPr>
          <w:sz w:val="14"/>
          <w:szCs w:val="14"/>
        </w:rPr>
        <w:t xml:space="preserve">; viz vzor variantní tabulky na </w:t>
      </w:r>
      <w:proofErr w:type="gramStart"/>
      <w:r>
        <w:rPr>
          <w:sz w:val="14"/>
          <w:szCs w:val="14"/>
        </w:rPr>
        <w:t>obr.23</w:t>
      </w:r>
      <w:proofErr w:type="gramEnd"/>
      <w:r>
        <w:rPr>
          <w:sz w:val="14"/>
          <w:szCs w:val="14"/>
        </w:rPr>
        <w:t xml:space="preserve"> v tematických přílohách</w:t>
      </w:r>
    </w:p>
    <w:tbl>
      <w:tblPr>
        <w:tblStyle w:val="Mkatabulky"/>
        <w:tblW w:w="9678" w:type="dxa"/>
        <w:tblInd w:w="-175" w:type="dxa"/>
        <w:tblLook w:val="04A0" w:firstRow="1" w:lastRow="0" w:firstColumn="1" w:lastColumn="0" w:noHBand="0" w:noVBand="1"/>
      </w:tblPr>
      <w:tblGrid>
        <w:gridCol w:w="3970"/>
        <w:gridCol w:w="1560"/>
        <w:gridCol w:w="1013"/>
        <w:gridCol w:w="3135"/>
      </w:tblGrid>
      <w:tr w:rsidR="00287B1D" w:rsidTr="00C301C0">
        <w:trPr>
          <w:trHeight w:val="246"/>
        </w:trPr>
        <w:tc>
          <w:tcPr>
            <w:tcW w:w="3970" w:type="dxa"/>
            <w:vAlign w:val="center"/>
          </w:tcPr>
          <w:p w:rsidR="00287B1D" w:rsidRDefault="00BB6CB9">
            <w:pPr>
              <w:spacing w:after="0" w:line="240" w:lineRule="auto"/>
              <w:jc w:val="center"/>
              <w:rPr>
                <w:b/>
                <w:sz w:val="11"/>
                <w:szCs w:val="11"/>
              </w:rPr>
            </w:pPr>
            <w:r>
              <w:rPr>
                <w:b/>
                <w:sz w:val="11"/>
                <w:szCs w:val="11"/>
              </w:rPr>
              <w:t>Název</w:t>
            </w:r>
          </w:p>
        </w:tc>
        <w:tc>
          <w:tcPr>
            <w:tcW w:w="1560" w:type="dxa"/>
            <w:vAlign w:val="center"/>
          </w:tcPr>
          <w:p w:rsidR="00287B1D" w:rsidRDefault="00BB6CB9">
            <w:pPr>
              <w:spacing w:after="0" w:line="240" w:lineRule="auto"/>
              <w:jc w:val="center"/>
              <w:rPr>
                <w:b/>
                <w:sz w:val="11"/>
                <w:szCs w:val="11"/>
              </w:rPr>
            </w:pPr>
            <w:r>
              <w:rPr>
                <w:b/>
                <w:sz w:val="11"/>
                <w:szCs w:val="11"/>
              </w:rPr>
              <w:t>Kapacita/čas/počet</w:t>
            </w:r>
          </w:p>
        </w:tc>
        <w:tc>
          <w:tcPr>
            <w:tcW w:w="1013" w:type="dxa"/>
            <w:vAlign w:val="center"/>
          </w:tcPr>
          <w:p w:rsidR="00287B1D" w:rsidRDefault="00BB6CB9">
            <w:pPr>
              <w:spacing w:after="0" w:line="240" w:lineRule="auto"/>
              <w:jc w:val="center"/>
              <w:rPr>
                <w:b/>
                <w:sz w:val="11"/>
                <w:szCs w:val="11"/>
              </w:rPr>
            </w:pPr>
            <w:r>
              <w:rPr>
                <w:b/>
                <w:sz w:val="11"/>
                <w:szCs w:val="11"/>
              </w:rPr>
              <w:t xml:space="preserve">Výměna </w:t>
            </w:r>
            <w:proofErr w:type="gramStart"/>
            <w:r>
              <w:rPr>
                <w:b/>
                <w:sz w:val="11"/>
                <w:szCs w:val="11"/>
              </w:rPr>
              <w:t>za</w:t>
            </w:r>
            <w:proofErr w:type="gramEnd"/>
          </w:p>
        </w:tc>
        <w:tc>
          <w:tcPr>
            <w:tcW w:w="3135" w:type="dxa"/>
            <w:vAlign w:val="center"/>
          </w:tcPr>
          <w:p w:rsidR="00287B1D" w:rsidRDefault="00BB6CB9">
            <w:pPr>
              <w:spacing w:after="0" w:line="240" w:lineRule="auto"/>
              <w:jc w:val="center"/>
              <w:rPr>
                <w:b/>
                <w:sz w:val="11"/>
                <w:szCs w:val="11"/>
              </w:rPr>
            </w:pPr>
            <w:r>
              <w:rPr>
                <w:b/>
                <w:sz w:val="11"/>
                <w:szCs w:val="11"/>
              </w:rPr>
              <w:t>Poznámka</w:t>
            </w:r>
          </w:p>
        </w:tc>
      </w:tr>
      <w:tr w:rsidR="00287B1D" w:rsidTr="00C301C0">
        <w:trPr>
          <w:trHeight w:val="273"/>
        </w:trPr>
        <w:tc>
          <w:tcPr>
            <w:tcW w:w="3970" w:type="dxa"/>
            <w:vAlign w:val="center"/>
          </w:tcPr>
          <w:p w:rsidR="00287B1D" w:rsidRDefault="00BB6CB9">
            <w:pPr>
              <w:spacing w:after="0" w:line="240" w:lineRule="auto"/>
              <w:rPr>
                <w:color w:val="0033CC"/>
                <w:sz w:val="12"/>
                <w:szCs w:val="12"/>
              </w:rPr>
            </w:pPr>
            <w:r>
              <w:rPr>
                <w:color w:val="FF0000"/>
                <w:sz w:val="12"/>
                <w:szCs w:val="12"/>
              </w:rPr>
              <w:t>Sorpční náplně pro snížení Ca + Mg  (</w:t>
            </w:r>
            <w:r>
              <w:rPr>
                <w:b/>
                <w:color w:val="FF0000"/>
                <w:sz w:val="12"/>
                <w:szCs w:val="12"/>
              </w:rPr>
              <w:t>6</w:t>
            </w:r>
            <w:r>
              <w:rPr>
                <w:color w:val="FF0000"/>
                <w:sz w:val="12"/>
                <w:szCs w:val="12"/>
              </w:rPr>
              <w:t xml:space="preserve"> měsíců, nebo)</w:t>
            </w:r>
            <w:r>
              <w:rPr>
                <w:color w:val="0033CC"/>
                <w:sz w:val="12"/>
                <w:szCs w:val="12"/>
                <w:vertAlign w:val="superscript"/>
              </w:rPr>
              <w:t>a)</w:t>
            </w:r>
          </w:p>
        </w:tc>
        <w:tc>
          <w:tcPr>
            <w:tcW w:w="1560" w:type="dxa"/>
            <w:vAlign w:val="center"/>
          </w:tcPr>
          <w:p w:rsidR="00287B1D" w:rsidRDefault="00BB6CB9">
            <w:pPr>
              <w:spacing w:after="0" w:line="240" w:lineRule="auto"/>
              <w:jc w:val="center"/>
              <w:rPr>
                <w:color w:val="FF0000"/>
                <w:sz w:val="12"/>
                <w:szCs w:val="12"/>
              </w:rPr>
            </w:pPr>
            <w:r>
              <w:rPr>
                <w:color w:val="FF0000"/>
                <w:sz w:val="12"/>
                <w:szCs w:val="12"/>
              </w:rPr>
              <w:t>7 500 litrů</w:t>
            </w:r>
          </w:p>
        </w:tc>
        <w:tc>
          <w:tcPr>
            <w:tcW w:w="1013" w:type="dxa"/>
            <w:vAlign w:val="center"/>
          </w:tcPr>
          <w:p w:rsidR="00287B1D" w:rsidRDefault="00BB6CB9">
            <w:pPr>
              <w:spacing w:after="0" w:line="240" w:lineRule="auto"/>
              <w:jc w:val="center"/>
              <w:rPr>
                <w:sz w:val="12"/>
                <w:szCs w:val="12"/>
              </w:rPr>
            </w:pPr>
            <w:r>
              <w:rPr>
                <w:rFonts w:cstheme="minorHAnsi"/>
                <w:sz w:val="12"/>
                <w:szCs w:val="12"/>
              </w:rPr>
              <w:t>1 x ½ roku</w:t>
            </w:r>
          </w:p>
        </w:tc>
        <w:tc>
          <w:tcPr>
            <w:tcW w:w="3135" w:type="dxa"/>
            <w:vAlign w:val="center"/>
          </w:tcPr>
          <w:p w:rsidR="00287B1D" w:rsidRDefault="00BB6CB9">
            <w:pPr>
              <w:spacing w:after="0" w:line="240" w:lineRule="auto"/>
              <w:rPr>
                <w:rFonts w:cstheme="minorHAnsi"/>
                <w:sz w:val="12"/>
                <w:szCs w:val="12"/>
              </w:rPr>
            </w:pPr>
            <w:r>
              <w:rPr>
                <w:rFonts w:cstheme="minorHAnsi"/>
                <w:sz w:val="12"/>
                <w:szCs w:val="12"/>
              </w:rPr>
              <w:t>Snížení tvrdosti Ca + Mg</w:t>
            </w:r>
          </w:p>
        </w:tc>
      </w:tr>
      <w:tr w:rsidR="00287B1D" w:rsidTr="00C301C0">
        <w:trPr>
          <w:trHeight w:val="273"/>
        </w:trPr>
        <w:tc>
          <w:tcPr>
            <w:tcW w:w="3970" w:type="dxa"/>
            <w:vAlign w:val="center"/>
          </w:tcPr>
          <w:p w:rsidR="00287B1D" w:rsidRDefault="00BB6CB9">
            <w:pPr>
              <w:spacing w:after="0" w:line="240" w:lineRule="auto"/>
              <w:rPr>
                <w:color w:val="FF0000"/>
                <w:sz w:val="12"/>
                <w:szCs w:val="12"/>
              </w:rPr>
            </w:pPr>
            <w:r>
              <w:rPr>
                <w:color w:val="FF0000"/>
                <w:sz w:val="12"/>
                <w:szCs w:val="12"/>
              </w:rPr>
              <w:t>Sorpční náplně pro snížení As (</w:t>
            </w:r>
            <w:r>
              <w:rPr>
                <w:b/>
                <w:color w:val="FF0000"/>
                <w:sz w:val="12"/>
                <w:szCs w:val="12"/>
              </w:rPr>
              <w:t>6</w:t>
            </w:r>
            <w:r>
              <w:rPr>
                <w:color w:val="FF0000"/>
                <w:sz w:val="12"/>
                <w:szCs w:val="12"/>
              </w:rPr>
              <w:t xml:space="preserve"> měsíců, nebo)</w:t>
            </w:r>
          </w:p>
        </w:tc>
        <w:tc>
          <w:tcPr>
            <w:tcW w:w="1560" w:type="dxa"/>
            <w:vAlign w:val="center"/>
          </w:tcPr>
          <w:p w:rsidR="00287B1D" w:rsidRDefault="00BB6CB9">
            <w:pPr>
              <w:spacing w:after="0" w:line="240" w:lineRule="auto"/>
              <w:jc w:val="center"/>
              <w:rPr>
                <w:color w:val="FF0000"/>
                <w:sz w:val="12"/>
                <w:szCs w:val="12"/>
              </w:rPr>
            </w:pPr>
            <w:r>
              <w:rPr>
                <w:color w:val="FF0000"/>
                <w:sz w:val="12"/>
                <w:szCs w:val="12"/>
              </w:rPr>
              <w:t>7 500 litrů</w:t>
            </w:r>
          </w:p>
        </w:tc>
        <w:tc>
          <w:tcPr>
            <w:tcW w:w="1013" w:type="dxa"/>
            <w:vAlign w:val="center"/>
          </w:tcPr>
          <w:p w:rsidR="00287B1D" w:rsidRDefault="00BB6CB9">
            <w:pPr>
              <w:spacing w:after="0" w:line="240" w:lineRule="auto"/>
              <w:jc w:val="center"/>
              <w:rPr>
                <w:sz w:val="12"/>
                <w:szCs w:val="12"/>
              </w:rPr>
            </w:pPr>
            <w:r>
              <w:rPr>
                <w:rFonts w:cstheme="minorHAnsi"/>
                <w:sz w:val="12"/>
                <w:szCs w:val="12"/>
              </w:rPr>
              <w:t>1 x ½ roku</w:t>
            </w:r>
          </w:p>
        </w:tc>
        <w:tc>
          <w:tcPr>
            <w:tcW w:w="3135" w:type="dxa"/>
            <w:vAlign w:val="center"/>
          </w:tcPr>
          <w:p w:rsidR="00287B1D" w:rsidRDefault="00BB6CB9">
            <w:pPr>
              <w:spacing w:after="0" w:line="240" w:lineRule="auto"/>
              <w:rPr>
                <w:rFonts w:cstheme="minorHAnsi"/>
                <w:sz w:val="12"/>
                <w:szCs w:val="12"/>
              </w:rPr>
            </w:pPr>
            <w:r>
              <w:rPr>
                <w:rFonts w:cstheme="minorHAnsi"/>
                <w:sz w:val="12"/>
                <w:szCs w:val="12"/>
              </w:rPr>
              <w:t>Snížení Arsenu</w:t>
            </w:r>
          </w:p>
        </w:tc>
      </w:tr>
      <w:tr w:rsidR="00287B1D" w:rsidTr="00C301C0">
        <w:trPr>
          <w:trHeight w:val="273"/>
        </w:trPr>
        <w:tc>
          <w:tcPr>
            <w:tcW w:w="3970" w:type="dxa"/>
            <w:vAlign w:val="center"/>
          </w:tcPr>
          <w:p w:rsidR="00287B1D" w:rsidRDefault="00BB6CB9">
            <w:pPr>
              <w:spacing w:after="0" w:line="240" w:lineRule="auto"/>
              <w:rPr>
                <w:color w:val="FF0000"/>
                <w:sz w:val="12"/>
                <w:szCs w:val="12"/>
              </w:rPr>
            </w:pPr>
            <w:r>
              <w:rPr>
                <w:color w:val="FF0000"/>
                <w:sz w:val="12"/>
                <w:szCs w:val="12"/>
              </w:rPr>
              <w:t>Filtrační náplně mechanické PP (</w:t>
            </w:r>
            <w:r>
              <w:rPr>
                <w:b/>
                <w:color w:val="FF0000"/>
                <w:sz w:val="12"/>
                <w:szCs w:val="12"/>
              </w:rPr>
              <w:t>6</w:t>
            </w:r>
            <w:r>
              <w:rPr>
                <w:color w:val="FF0000"/>
                <w:sz w:val="12"/>
                <w:szCs w:val="12"/>
              </w:rPr>
              <w:t xml:space="preserve"> měsíců, nebo)</w:t>
            </w:r>
          </w:p>
        </w:tc>
        <w:tc>
          <w:tcPr>
            <w:tcW w:w="1560" w:type="dxa"/>
            <w:vAlign w:val="center"/>
          </w:tcPr>
          <w:p w:rsidR="00287B1D" w:rsidRDefault="00BB6CB9">
            <w:pPr>
              <w:spacing w:after="0" w:line="240" w:lineRule="auto"/>
              <w:jc w:val="center"/>
              <w:rPr>
                <w:color w:val="FF0000"/>
                <w:sz w:val="12"/>
                <w:szCs w:val="12"/>
              </w:rPr>
            </w:pPr>
            <w:r>
              <w:rPr>
                <w:color w:val="FF0000"/>
                <w:sz w:val="12"/>
                <w:szCs w:val="12"/>
              </w:rPr>
              <w:t>7 500 litrů</w:t>
            </w:r>
          </w:p>
        </w:tc>
        <w:tc>
          <w:tcPr>
            <w:tcW w:w="1013" w:type="dxa"/>
            <w:vAlign w:val="center"/>
          </w:tcPr>
          <w:p w:rsidR="00287B1D" w:rsidRDefault="00BB6CB9">
            <w:pPr>
              <w:spacing w:after="0" w:line="240" w:lineRule="auto"/>
              <w:jc w:val="center"/>
              <w:rPr>
                <w:sz w:val="12"/>
                <w:szCs w:val="12"/>
              </w:rPr>
            </w:pPr>
            <w:r>
              <w:rPr>
                <w:rFonts w:cstheme="minorHAnsi"/>
                <w:sz w:val="12"/>
                <w:szCs w:val="12"/>
              </w:rPr>
              <w:t>1 x ½ roku</w:t>
            </w:r>
          </w:p>
        </w:tc>
        <w:tc>
          <w:tcPr>
            <w:tcW w:w="3135" w:type="dxa"/>
            <w:vAlign w:val="center"/>
          </w:tcPr>
          <w:p w:rsidR="00287B1D" w:rsidRDefault="00BB6CB9">
            <w:pPr>
              <w:spacing w:after="0" w:line="240" w:lineRule="auto"/>
              <w:rPr>
                <w:rFonts w:cstheme="minorHAnsi"/>
                <w:sz w:val="12"/>
                <w:szCs w:val="12"/>
              </w:rPr>
            </w:pPr>
            <w:r>
              <w:rPr>
                <w:rFonts w:cstheme="minorHAnsi"/>
                <w:sz w:val="12"/>
                <w:szCs w:val="12"/>
              </w:rPr>
              <w:t xml:space="preserve">Snížení zákalu vody </w:t>
            </w:r>
          </w:p>
        </w:tc>
      </w:tr>
      <w:tr w:rsidR="00287B1D" w:rsidTr="00C301C0">
        <w:trPr>
          <w:trHeight w:val="273"/>
        </w:trPr>
        <w:tc>
          <w:tcPr>
            <w:tcW w:w="3970" w:type="dxa"/>
            <w:vAlign w:val="center"/>
          </w:tcPr>
          <w:p w:rsidR="00287B1D" w:rsidRDefault="00BB6CB9">
            <w:pPr>
              <w:spacing w:after="0" w:line="240" w:lineRule="auto"/>
              <w:rPr>
                <w:color w:val="0033CC"/>
                <w:sz w:val="12"/>
                <w:szCs w:val="12"/>
              </w:rPr>
            </w:pPr>
            <w:r>
              <w:rPr>
                <w:color w:val="FF0000"/>
                <w:sz w:val="12"/>
                <w:szCs w:val="12"/>
              </w:rPr>
              <w:t>Sorpční náplně pro změkčení Fe + Mn (</w:t>
            </w:r>
            <w:r>
              <w:rPr>
                <w:b/>
                <w:color w:val="FF0000"/>
                <w:sz w:val="12"/>
                <w:szCs w:val="12"/>
              </w:rPr>
              <w:t>6</w:t>
            </w:r>
            <w:r>
              <w:rPr>
                <w:color w:val="FF0000"/>
                <w:sz w:val="12"/>
                <w:szCs w:val="12"/>
              </w:rPr>
              <w:t xml:space="preserve"> měsíců, nebo)</w:t>
            </w:r>
            <w:r>
              <w:rPr>
                <w:color w:val="0033CC"/>
                <w:sz w:val="12"/>
                <w:szCs w:val="12"/>
                <w:vertAlign w:val="superscript"/>
              </w:rPr>
              <w:t>a)</w:t>
            </w:r>
          </w:p>
        </w:tc>
        <w:tc>
          <w:tcPr>
            <w:tcW w:w="1560" w:type="dxa"/>
            <w:vAlign w:val="center"/>
          </w:tcPr>
          <w:p w:rsidR="00287B1D" w:rsidRDefault="00BB6CB9">
            <w:pPr>
              <w:spacing w:after="0" w:line="240" w:lineRule="auto"/>
              <w:jc w:val="center"/>
              <w:rPr>
                <w:color w:val="0033CC"/>
                <w:sz w:val="12"/>
                <w:szCs w:val="12"/>
              </w:rPr>
            </w:pPr>
            <w:r>
              <w:rPr>
                <w:color w:val="FF0000"/>
                <w:sz w:val="12"/>
                <w:szCs w:val="12"/>
              </w:rPr>
              <w:t>7 500 litrů</w:t>
            </w:r>
          </w:p>
        </w:tc>
        <w:tc>
          <w:tcPr>
            <w:tcW w:w="1013" w:type="dxa"/>
            <w:vAlign w:val="center"/>
          </w:tcPr>
          <w:p w:rsidR="00287B1D" w:rsidRDefault="00BB6CB9">
            <w:pPr>
              <w:spacing w:after="0" w:line="240" w:lineRule="auto"/>
              <w:jc w:val="center"/>
              <w:rPr>
                <w:sz w:val="12"/>
                <w:szCs w:val="12"/>
              </w:rPr>
            </w:pPr>
            <w:r>
              <w:rPr>
                <w:rFonts w:cstheme="minorHAnsi"/>
                <w:sz w:val="12"/>
                <w:szCs w:val="12"/>
              </w:rPr>
              <w:t>1 x ½ roku</w:t>
            </w:r>
          </w:p>
        </w:tc>
        <w:tc>
          <w:tcPr>
            <w:tcW w:w="3135" w:type="dxa"/>
            <w:vAlign w:val="center"/>
          </w:tcPr>
          <w:p w:rsidR="00287B1D" w:rsidRDefault="00BB6CB9">
            <w:pPr>
              <w:spacing w:after="0" w:line="240" w:lineRule="auto"/>
              <w:rPr>
                <w:rFonts w:cstheme="minorHAnsi"/>
                <w:sz w:val="12"/>
                <w:szCs w:val="12"/>
              </w:rPr>
            </w:pPr>
            <w:r>
              <w:rPr>
                <w:rFonts w:cstheme="minorHAnsi"/>
                <w:sz w:val="12"/>
                <w:szCs w:val="12"/>
              </w:rPr>
              <w:t>Snížení Fe + Mg</w:t>
            </w:r>
          </w:p>
        </w:tc>
      </w:tr>
      <w:tr w:rsidR="00287B1D" w:rsidTr="00C301C0">
        <w:trPr>
          <w:trHeight w:val="258"/>
        </w:trPr>
        <w:tc>
          <w:tcPr>
            <w:tcW w:w="3970" w:type="dxa"/>
            <w:vAlign w:val="center"/>
          </w:tcPr>
          <w:p w:rsidR="00287B1D" w:rsidRDefault="00BB6CB9">
            <w:pPr>
              <w:spacing w:after="0" w:line="240" w:lineRule="auto"/>
              <w:rPr>
                <w:color w:val="0033CC"/>
                <w:sz w:val="12"/>
                <w:szCs w:val="12"/>
              </w:rPr>
            </w:pPr>
            <w:r>
              <w:rPr>
                <w:color w:val="FF0000"/>
                <w:sz w:val="12"/>
                <w:szCs w:val="12"/>
              </w:rPr>
              <w:t xml:space="preserve">Sorpční náplně pro změkčení </w:t>
            </w:r>
            <w:r>
              <w:rPr>
                <w:rFonts w:eastAsia="Times New Roman" w:cs="Calibri"/>
                <w:color w:val="FF0000"/>
                <w:sz w:val="12"/>
                <w:szCs w:val="12"/>
                <w:lang w:eastAsia="cs-CZ"/>
              </w:rPr>
              <w:t>Ca, Mg, Fe, NH4</w:t>
            </w:r>
            <w:r>
              <w:rPr>
                <w:rFonts w:eastAsia="Times New Roman" w:cs="Calibri"/>
                <w:color w:val="FF0000"/>
                <w:sz w:val="12"/>
                <w:szCs w:val="12"/>
                <w:vertAlign w:val="superscript"/>
                <w:lang w:eastAsia="cs-CZ"/>
              </w:rPr>
              <w:t xml:space="preserve">+  </w:t>
            </w:r>
            <w:r>
              <w:rPr>
                <w:color w:val="FF0000"/>
                <w:sz w:val="12"/>
                <w:szCs w:val="12"/>
              </w:rPr>
              <w:t>(</w:t>
            </w:r>
            <w:r>
              <w:rPr>
                <w:b/>
                <w:color w:val="FF0000"/>
                <w:sz w:val="12"/>
                <w:szCs w:val="12"/>
              </w:rPr>
              <w:t>6</w:t>
            </w:r>
            <w:r>
              <w:rPr>
                <w:color w:val="FF0000"/>
                <w:sz w:val="12"/>
                <w:szCs w:val="12"/>
              </w:rPr>
              <w:t xml:space="preserve"> měsíců, nebo)</w:t>
            </w:r>
            <w:r>
              <w:rPr>
                <w:color w:val="0033CC"/>
                <w:sz w:val="12"/>
                <w:szCs w:val="12"/>
                <w:vertAlign w:val="superscript"/>
              </w:rPr>
              <w:t>a)</w:t>
            </w:r>
          </w:p>
        </w:tc>
        <w:tc>
          <w:tcPr>
            <w:tcW w:w="1560" w:type="dxa"/>
            <w:vAlign w:val="center"/>
          </w:tcPr>
          <w:p w:rsidR="00287B1D" w:rsidRDefault="00BB6CB9">
            <w:pPr>
              <w:spacing w:after="0" w:line="240" w:lineRule="auto"/>
              <w:jc w:val="center"/>
              <w:rPr>
                <w:color w:val="0033CC"/>
                <w:sz w:val="12"/>
                <w:szCs w:val="12"/>
              </w:rPr>
            </w:pPr>
            <w:r>
              <w:rPr>
                <w:color w:val="FF0000"/>
                <w:sz w:val="12"/>
                <w:szCs w:val="12"/>
              </w:rPr>
              <w:t>7 500 litrů</w:t>
            </w:r>
          </w:p>
        </w:tc>
        <w:tc>
          <w:tcPr>
            <w:tcW w:w="1013" w:type="dxa"/>
            <w:vAlign w:val="center"/>
          </w:tcPr>
          <w:p w:rsidR="00287B1D" w:rsidRDefault="00BB6CB9">
            <w:pPr>
              <w:spacing w:after="0" w:line="240" w:lineRule="auto"/>
              <w:jc w:val="center"/>
              <w:rPr>
                <w:sz w:val="12"/>
                <w:szCs w:val="12"/>
              </w:rPr>
            </w:pPr>
            <w:r>
              <w:rPr>
                <w:rFonts w:cstheme="minorHAnsi"/>
                <w:sz w:val="12"/>
                <w:szCs w:val="12"/>
              </w:rPr>
              <w:t>1 x ½ roku</w:t>
            </w:r>
          </w:p>
        </w:tc>
        <w:tc>
          <w:tcPr>
            <w:tcW w:w="3135" w:type="dxa"/>
            <w:vAlign w:val="center"/>
          </w:tcPr>
          <w:p w:rsidR="00287B1D" w:rsidRDefault="00BB6CB9">
            <w:pPr>
              <w:spacing w:after="0" w:line="240" w:lineRule="auto"/>
              <w:rPr>
                <w:rFonts w:cstheme="minorHAnsi"/>
                <w:sz w:val="12"/>
                <w:szCs w:val="12"/>
              </w:rPr>
            </w:pPr>
            <w:r>
              <w:rPr>
                <w:rFonts w:cstheme="minorHAnsi"/>
                <w:sz w:val="12"/>
                <w:szCs w:val="12"/>
              </w:rPr>
              <w:t xml:space="preserve">Snížení </w:t>
            </w:r>
            <w:r>
              <w:rPr>
                <w:rFonts w:eastAsia="Times New Roman" w:cs="Calibri"/>
                <w:color w:val="000000"/>
                <w:sz w:val="12"/>
                <w:szCs w:val="12"/>
                <w:lang w:eastAsia="cs-CZ"/>
              </w:rPr>
              <w:t>Vápníku, Hořčíku, Železa, Amoniaku</w:t>
            </w:r>
          </w:p>
        </w:tc>
      </w:tr>
      <w:tr w:rsidR="00287B1D" w:rsidTr="00C301C0">
        <w:trPr>
          <w:trHeight w:val="258"/>
        </w:trPr>
        <w:tc>
          <w:tcPr>
            <w:tcW w:w="3970" w:type="dxa"/>
            <w:vAlign w:val="center"/>
          </w:tcPr>
          <w:p w:rsidR="00287B1D" w:rsidRDefault="00BB6CB9">
            <w:pPr>
              <w:spacing w:after="0" w:line="240" w:lineRule="auto"/>
              <w:rPr>
                <w:sz w:val="12"/>
                <w:szCs w:val="12"/>
              </w:rPr>
            </w:pPr>
            <w:r>
              <w:rPr>
                <w:color w:val="FF0000"/>
                <w:sz w:val="12"/>
                <w:szCs w:val="12"/>
              </w:rPr>
              <w:t xml:space="preserve">Sorpční náplně pro stabilizaci pH+, </w:t>
            </w:r>
            <w:r>
              <w:rPr>
                <w:rFonts w:eastAsia="Times New Roman" w:cs="Calibri"/>
                <w:color w:val="FF0000"/>
                <w:sz w:val="12"/>
                <w:szCs w:val="12"/>
                <w:lang w:eastAsia="cs-CZ"/>
              </w:rPr>
              <w:t>MgO</w:t>
            </w:r>
            <w:r>
              <w:rPr>
                <w:color w:val="FF0000"/>
                <w:sz w:val="12"/>
                <w:szCs w:val="12"/>
              </w:rPr>
              <w:t xml:space="preserve"> (</w:t>
            </w:r>
            <w:r>
              <w:rPr>
                <w:b/>
                <w:color w:val="FF0000"/>
                <w:sz w:val="12"/>
                <w:szCs w:val="12"/>
              </w:rPr>
              <w:t>6</w:t>
            </w:r>
            <w:r>
              <w:rPr>
                <w:color w:val="FF0000"/>
                <w:sz w:val="12"/>
                <w:szCs w:val="12"/>
              </w:rPr>
              <w:t xml:space="preserve"> měsíců, nebo)</w:t>
            </w:r>
          </w:p>
        </w:tc>
        <w:tc>
          <w:tcPr>
            <w:tcW w:w="1560" w:type="dxa"/>
            <w:vAlign w:val="center"/>
          </w:tcPr>
          <w:p w:rsidR="00287B1D" w:rsidRDefault="00BB6CB9">
            <w:pPr>
              <w:spacing w:after="0" w:line="240" w:lineRule="auto"/>
              <w:jc w:val="center"/>
              <w:rPr>
                <w:color w:val="0033CC"/>
                <w:sz w:val="12"/>
                <w:szCs w:val="12"/>
              </w:rPr>
            </w:pPr>
            <w:r>
              <w:rPr>
                <w:color w:val="FF0000"/>
                <w:sz w:val="12"/>
                <w:szCs w:val="12"/>
              </w:rPr>
              <w:t>7 500 litrů</w:t>
            </w:r>
          </w:p>
        </w:tc>
        <w:tc>
          <w:tcPr>
            <w:tcW w:w="1013" w:type="dxa"/>
            <w:vAlign w:val="center"/>
          </w:tcPr>
          <w:p w:rsidR="00287B1D" w:rsidRDefault="00BB6CB9">
            <w:pPr>
              <w:spacing w:after="0" w:line="240" w:lineRule="auto"/>
              <w:jc w:val="center"/>
              <w:rPr>
                <w:sz w:val="12"/>
                <w:szCs w:val="12"/>
              </w:rPr>
            </w:pPr>
            <w:r>
              <w:rPr>
                <w:rFonts w:cstheme="minorHAnsi"/>
                <w:sz w:val="12"/>
                <w:szCs w:val="12"/>
              </w:rPr>
              <w:t>1 x ½ roku</w:t>
            </w:r>
          </w:p>
        </w:tc>
        <w:tc>
          <w:tcPr>
            <w:tcW w:w="3135" w:type="dxa"/>
            <w:vAlign w:val="center"/>
          </w:tcPr>
          <w:p w:rsidR="00287B1D" w:rsidRDefault="00BB6CB9">
            <w:pPr>
              <w:spacing w:after="0" w:line="240" w:lineRule="auto"/>
              <w:rPr>
                <w:rFonts w:cstheme="minorHAnsi"/>
                <w:sz w:val="12"/>
                <w:szCs w:val="12"/>
              </w:rPr>
            </w:pPr>
            <w:r>
              <w:rPr>
                <w:rFonts w:cstheme="minorHAnsi"/>
                <w:sz w:val="12"/>
                <w:szCs w:val="12"/>
              </w:rPr>
              <w:t xml:space="preserve">Zvýšení pH+ </w:t>
            </w:r>
            <w:r>
              <w:rPr>
                <w:rFonts w:eastAsia="Times New Roman" w:cs="Calibri"/>
                <w:color w:val="373A3C"/>
                <w:sz w:val="12"/>
                <w:szCs w:val="12"/>
                <w:lang w:val="en-GB" w:eastAsia="en-GB"/>
              </w:rPr>
              <w:t xml:space="preserve">4,5 - 6,0   </w:t>
            </w:r>
          </w:p>
        </w:tc>
      </w:tr>
      <w:tr w:rsidR="00287B1D" w:rsidTr="00C301C0">
        <w:trPr>
          <w:trHeight w:val="273"/>
        </w:trPr>
        <w:tc>
          <w:tcPr>
            <w:tcW w:w="3970" w:type="dxa"/>
            <w:vAlign w:val="center"/>
          </w:tcPr>
          <w:p w:rsidR="00287B1D" w:rsidRDefault="00BB6CB9">
            <w:pPr>
              <w:spacing w:after="0" w:line="240" w:lineRule="auto"/>
              <w:rPr>
                <w:color w:val="FF0000"/>
                <w:sz w:val="12"/>
                <w:szCs w:val="12"/>
              </w:rPr>
            </w:pPr>
            <w:r>
              <w:rPr>
                <w:color w:val="FF0000"/>
                <w:sz w:val="12"/>
                <w:szCs w:val="12"/>
              </w:rPr>
              <w:t xml:space="preserve">Sorpční náplně pro stabilizaci pH++, </w:t>
            </w:r>
            <w:r>
              <w:rPr>
                <w:rFonts w:eastAsia="Times New Roman" w:cs="Calibri"/>
                <w:color w:val="FF0000"/>
                <w:sz w:val="12"/>
                <w:szCs w:val="12"/>
                <w:lang w:eastAsia="cs-CZ"/>
              </w:rPr>
              <w:t>CaCO</w:t>
            </w:r>
            <w:r>
              <w:rPr>
                <w:rFonts w:eastAsia="Times New Roman" w:cs="Calibri"/>
                <w:color w:val="FF0000"/>
                <w:sz w:val="12"/>
                <w:szCs w:val="12"/>
                <w:vertAlign w:val="subscript"/>
                <w:lang w:eastAsia="cs-CZ"/>
              </w:rPr>
              <w:t>3</w:t>
            </w:r>
            <w:r>
              <w:rPr>
                <w:rFonts w:eastAsia="Times New Roman" w:cs="Calibri"/>
                <w:color w:val="FF0000"/>
                <w:sz w:val="12"/>
                <w:szCs w:val="12"/>
                <w:lang w:eastAsia="cs-CZ"/>
              </w:rPr>
              <w:t>, MgO</w:t>
            </w:r>
            <w:r>
              <w:rPr>
                <w:color w:val="FF0000"/>
                <w:sz w:val="12"/>
                <w:szCs w:val="12"/>
              </w:rPr>
              <w:t xml:space="preserve"> (</w:t>
            </w:r>
            <w:r>
              <w:rPr>
                <w:b/>
                <w:color w:val="FF0000"/>
                <w:sz w:val="12"/>
                <w:szCs w:val="12"/>
              </w:rPr>
              <w:t>6</w:t>
            </w:r>
            <w:r>
              <w:rPr>
                <w:color w:val="FF0000"/>
                <w:sz w:val="12"/>
                <w:szCs w:val="12"/>
              </w:rPr>
              <w:t xml:space="preserve"> měsíců, nebo)</w:t>
            </w:r>
          </w:p>
        </w:tc>
        <w:tc>
          <w:tcPr>
            <w:tcW w:w="1560" w:type="dxa"/>
            <w:vAlign w:val="center"/>
          </w:tcPr>
          <w:p w:rsidR="00287B1D" w:rsidRDefault="00BB6CB9">
            <w:pPr>
              <w:spacing w:after="0" w:line="240" w:lineRule="auto"/>
              <w:jc w:val="center"/>
              <w:rPr>
                <w:color w:val="0033CC"/>
                <w:sz w:val="12"/>
                <w:szCs w:val="12"/>
              </w:rPr>
            </w:pPr>
            <w:r>
              <w:rPr>
                <w:color w:val="FF0000"/>
                <w:sz w:val="12"/>
                <w:szCs w:val="12"/>
              </w:rPr>
              <w:t>7 500 litrů</w:t>
            </w:r>
          </w:p>
        </w:tc>
        <w:tc>
          <w:tcPr>
            <w:tcW w:w="1013" w:type="dxa"/>
            <w:vAlign w:val="center"/>
          </w:tcPr>
          <w:p w:rsidR="00287B1D" w:rsidRDefault="00BB6CB9">
            <w:pPr>
              <w:spacing w:after="0" w:line="240" w:lineRule="auto"/>
              <w:jc w:val="center"/>
              <w:rPr>
                <w:sz w:val="12"/>
                <w:szCs w:val="12"/>
              </w:rPr>
            </w:pPr>
            <w:r>
              <w:rPr>
                <w:rFonts w:cstheme="minorHAnsi"/>
                <w:sz w:val="12"/>
                <w:szCs w:val="12"/>
              </w:rPr>
              <w:t>1 x ½ roku</w:t>
            </w:r>
          </w:p>
        </w:tc>
        <w:tc>
          <w:tcPr>
            <w:tcW w:w="3135" w:type="dxa"/>
            <w:vAlign w:val="center"/>
          </w:tcPr>
          <w:p w:rsidR="00287B1D" w:rsidRDefault="00BB6CB9">
            <w:pPr>
              <w:spacing w:after="0" w:line="240" w:lineRule="auto"/>
              <w:rPr>
                <w:rFonts w:cstheme="minorHAnsi"/>
                <w:sz w:val="12"/>
                <w:szCs w:val="12"/>
              </w:rPr>
            </w:pPr>
            <w:r>
              <w:rPr>
                <w:rFonts w:cstheme="minorHAnsi"/>
                <w:sz w:val="12"/>
                <w:szCs w:val="12"/>
              </w:rPr>
              <w:t xml:space="preserve">Zvýšení pH++ </w:t>
            </w:r>
            <w:r>
              <w:rPr>
                <w:rFonts w:eastAsia="Times New Roman" w:cs="Calibri"/>
                <w:color w:val="373A3C"/>
                <w:sz w:val="12"/>
                <w:szCs w:val="12"/>
                <w:lang w:val="en-GB" w:eastAsia="en-GB"/>
              </w:rPr>
              <w:t>5,0 - 7,0</w:t>
            </w:r>
          </w:p>
        </w:tc>
      </w:tr>
      <w:tr w:rsidR="00287B1D" w:rsidTr="00C301C0">
        <w:trPr>
          <w:trHeight w:val="273"/>
        </w:trPr>
        <w:tc>
          <w:tcPr>
            <w:tcW w:w="3970" w:type="dxa"/>
            <w:vAlign w:val="center"/>
          </w:tcPr>
          <w:p w:rsidR="00287B1D" w:rsidRDefault="00BB6CB9">
            <w:pPr>
              <w:spacing w:after="0" w:line="240" w:lineRule="auto"/>
              <w:rPr>
                <w:color w:val="0033CC"/>
                <w:sz w:val="12"/>
                <w:szCs w:val="12"/>
              </w:rPr>
            </w:pPr>
            <w:r>
              <w:rPr>
                <w:color w:val="FF0000"/>
                <w:sz w:val="12"/>
                <w:szCs w:val="12"/>
              </w:rPr>
              <w:t>Sorpční náplně pro s</w:t>
            </w:r>
            <w:r>
              <w:rPr>
                <w:rFonts w:eastAsia="Times New Roman" w:cs="Calibri"/>
                <w:color w:val="FF0000"/>
                <w:sz w:val="12"/>
                <w:szCs w:val="12"/>
                <w:lang w:eastAsia="cs-CZ"/>
              </w:rPr>
              <w:t xml:space="preserve">nížení izotopů, nuklidů </w:t>
            </w:r>
            <w:r>
              <w:rPr>
                <w:color w:val="FF0000"/>
                <w:sz w:val="12"/>
                <w:szCs w:val="12"/>
              </w:rPr>
              <w:t>(</w:t>
            </w:r>
            <w:r>
              <w:rPr>
                <w:b/>
                <w:color w:val="FF0000"/>
                <w:sz w:val="12"/>
                <w:szCs w:val="12"/>
              </w:rPr>
              <w:t>6</w:t>
            </w:r>
            <w:r>
              <w:rPr>
                <w:color w:val="FF0000"/>
                <w:sz w:val="12"/>
                <w:szCs w:val="12"/>
              </w:rPr>
              <w:t xml:space="preserve"> měsíců, nebo)</w:t>
            </w:r>
            <w:r>
              <w:rPr>
                <w:color w:val="0000FF"/>
                <w:sz w:val="12"/>
                <w:szCs w:val="12"/>
                <w:vertAlign w:val="superscript"/>
              </w:rPr>
              <w:t>b)</w:t>
            </w:r>
          </w:p>
        </w:tc>
        <w:tc>
          <w:tcPr>
            <w:tcW w:w="1560" w:type="dxa"/>
            <w:vAlign w:val="center"/>
          </w:tcPr>
          <w:p w:rsidR="00287B1D" w:rsidRDefault="00BB6CB9">
            <w:pPr>
              <w:spacing w:after="0" w:line="240" w:lineRule="auto"/>
              <w:jc w:val="center"/>
              <w:rPr>
                <w:color w:val="0033CC"/>
                <w:sz w:val="12"/>
                <w:szCs w:val="12"/>
              </w:rPr>
            </w:pPr>
            <w:r>
              <w:rPr>
                <w:color w:val="FF0000"/>
                <w:sz w:val="12"/>
                <w:szCs w:val="12"/>
              </w:rPr>
              <w:t>7 500 litrů</w:t>
            </w:r>
          </w:p>
        </w:tc>
        <w:tc>
          <w:tcPr>
            <w:tcW w:w="1013" w:type="dxa"/>
            <w:vAlign w:val="center"/>
          </w:tcPr>
          <w:p w:rsidR="00287B1D" w:rsidRDefault="00BB6CB9">
            <w:pPr>
              <w:spacing w:after="0" w:line="240" w:lineRule="auto"/>
              <w:jc w:val="center"/>
              <w:rPr>
                <w:sz w:val="12"/>
                <w:szCs w:val="12"/>
              </w:rPr>
            </w:pPr>
            <w:r>
              <w:rPr>
                <w:rFonts w:cstheme="minorHAnsi"/>
                <w:sz w:val="12"/>
                <w:szCs w:val="12"/>
              </w:rPr>
              <w:t>1 x ½ roku</w:t>
            </w:r>
          </w:p>
        </w:tc>
        <w:tc>
          <w:tcPr>
            <w:tcW w:w="3135" w:type="dxa"/>
            <w:vAlign w:val="center"/>
          </w:tcPr>
          <w:p w:rsidR="00287B1D" w:rsidRDefault="00BB6CB9">
            <w:pPr>
              <w:spacing w:after="0" w:line="240" w:lineRule="auto"/>
              <w:rPr>
                <w:rFonts w:cstheme="minorHAnsi"/>
                <w:sz w:val="12"/>
                <w:szCs w:val="12"/>
              </w:rPr>
            </w:pPr>
            <w:r>
              <w:rPr>
                <w:rFonts w:cstheme="minorHAnsi"/>
                <w:sz w:val="12"/>
                <w:szCs w:val="12"/>
              </w:rPr>
              <w:t>Snížení izotopů, nuklidů</w:t>
            </w:r>
          </w:p>
        </w:tc>
      </w:tr>
      <w:tr w:rsidR="00287B1D" w:rsidTr="00C301C0">
        <w:trPr>
          <w:trHeight w:val="273"/>
        </w:trPr>
        <w:tc>
          <w:tcPr>
            <w:tcW w:w="3970" w:type="dxa"/>
            <w:vAlign w:val="center"/>
          </w:tcPr>
          <w:p w:rsidR="00287B1D" w:rsidRDefault="00BB6CB9">
            <w:pPr>
              <w:spacing w:after="0" w:line="240" w:lineRule="auto"/>
              <w:rPr>
                <w:color w:val="0033CC"/>
                <w:sz w:val="12"/>
                <w:szCs w:val="12"/>
              </w:rPr>
            </w:pPr>
            <w:r>
              <w:rPr>
                <w:color w:val="FF0000"/>
                <w:sz w:val="12"/>
                <w:szCs w:val="12"/>
              </w:rPr>
              <w:t xml:space="preserve">Sorpční náplně pro změkčení </w:t>
            </w:r>
            <w:r>
              <w:rPr>
                <w:rFonts w:cstheme="minorHAnsi"/>
                <w:color w:val="FF0000"/>
                <w:sz w:val="12"/>
                <w:szCs w:val="12"/>
              </w:rPr>
              <w:t>NO</w:t>
            </w:r>
            <w:r>
              <w:rPr>
                <w:rFonts w:cstheme="minorHAnsi"/>
                <w:color w:val="FF0000"/>
                <w:sz w:val="12"/>
                <w:szCs w:val="12"/>
                <w:vertAlign w:val="subscript"/>
              </w:rPr>
              <w:t>3</w:t>
            </w:r>
            <w:r>
              <w:rPr>
                <w:rFonts w:cstheme="minorHAnsi"/>
                <w:color w:val="FF0000"/>
                <w:sz w:val="12"/>
                <w:szCs w:val="12"/>
              </w:rPr>
              <w:t>-, NO</w:t>
            </w:r>
            <w:r>
              <w:rPr>
                <w:rFonts w:cstheme="minorHAnsi"/>
                <w:color w:val="FF0000"/>
                <w:sz w:val="12"/>
                <w:szCs w:val="12"/>
                <w:vertAlign w:val="subscript"/>
              </w:rPr>
              <w:t>2</w:t>
            </w:r>
            <w:r>
              <w:rPr>
                <w:rFonts w:cstheme="minorHAnsi"/>
                <w:color w:val="FF0000"/>
                <w:sz w:val="12"/>
                <w:szCs w:val="12"/>
              </w:rPr>
              <w:t>-, SO₄²</w:t>
            </w:r>
            <w:r>
              <w:rPr>
                <w:rFonts w:ascii="Cambria Math" w:hAnsi="Cambria Math" w:cs="Cambria Math"/>
                <w:color w:val="FF0000"/>
                <w:sz w:val="12"/>
                <w:szCs w:val="12"/>
              </w:rPr>
              <w:t>⁻</w:t>
            </w:r>
            <w:r>
              <w:rPr>
                <w:color w:val="FF0000"/>
                <w:sz w:val="12"/>
                <w:szCs w:val="12"/>
              </w:rPr>
              <w:t xml:space="preserve"> (</w:t>
            </w:r>
            <w:r>
              <w:rPr>
                <w:b/>
                <w:color w:val="FF0000"/>
                <w:sz w:val="12"/>
                <w:szCs w:val="12"/>
              </w:rPr>
              <w:t>6</w:t>
            </w:r>
            <w:r>
              <w:rPr>
                <w:color w:val="FF0000"/>
                <w:sz w:val="12"/>
                <w:szCs w:val="12"/>
              </w:rPr>
              <w:t xml:space="preserve"> měsíců, nebo)</w:t>
            </w:r>
            <w:r>
              <w:rPr>
                <w:color w:val="0033CC"/>
                <w:sz w:val="12"/>
                <w:szCs w:val="12"/>
                <w:vertAlign w:val="superscript"/>
              </w:rPr>
              <w:t>a)</w:t>
            </w:r>
          </w:p>
        </w:tc>
        <w:tc>
          <w:tcPr>
            <w:tcW w:w="1560" w:type="dxa"/>
            <w:vAlign w:val="center"/>
          </w:tcPr>
          <w:p w:rsidR="00287B1D" w:rsidRDefault="00BB6CB9">
            <w:pPr>
              <w:spacing w:after="0" w:line="240" w:lineRule="auto"/>
              <w:jc w:val="center"/>
              <w:rPr>
                <w:color w:val="0033CC"/>
                <w:sz w:val="12"/>
                <w:szCs w:val="12"/>
              </w:rPr>
            </w:pPr>
            <w:r>
              <w:rPr>
                <w:color w:val="FF0000"/>
                <w:sz w:val="12"/>
                <w:szCs w:val="12"/>
              </w:rPr>
              <w:t>7 500 litrů</w:t>
            </w:r>
          </w:p>
        </w:tc>
        <w:tc>
          <w:tcPr>
            <w:tcW w:w="1013" w:type="dxa"/>
            <w:vAlign w:val="center"/>
          </w:tcPr>
          <w:p w:rsidR="00287B1D" w:rsidRDefault="00BB6CB9">
            <w:pPr>
              <w:spacing w:after="0" w:line="240" w:lineRule="auto"/>
              <w:jc w:val="center"/>
              <w:rPr>
                <w:sz w:val="12"/>
                <w:szCs w:val="12"/>
              </w:rPr>
            </w:pPr>
            <w:r>
              <w:rPr>
                <w:rFonts w:cstheme="minorHAnsi"/>
                <w:sz w:val="12"/>
                <w:szCs w:val="12"/>
              </w:rPr>
              <w:t>1 x ½ roku</w:t>
            </w:r>
          </w:p>
        </w:tc>
        <w:tc>
          <w:tcPr>
            <w:tcW w:w="3135" w:type="dxa"/>
            <w:vAlign w:val="center"/>
          </w:tcPr>
          <w:p w:rsidR="00287B1D" w:rsidRDefault="00BB6CB9">
            <w:pPr>
              <w:spacing w:after="0" w:line="240" w:lineRule="auto"/>
              <w:rPr>
                <w:rFonts w:cstheme="minorHAnsi"/>
                <w:sz w:val="12"/>
                <w:szCs w:val="12"/>
              </w:rPr>
            </w:pPr>
            <w:r>
              <w:rPr>
                <w:rFonts w:eastAsia="Times New Roman" w:cstheme="minorHAnsi"/>
                <w:sz w:val="12"/>
                <w:szCs w:val="12"/>
                <w:lang w:eastAsia="cs-CZ"/>
              </w:rPr>
              <w:t>Snížení Dusičnanů, dusitanů, síranů</w:t>
            </w:r>
          </w:p>
        </w:tc>
      </w:tr>
      <w:tr w:rsidR="00287B1D" w:rsidTr="00C301C0">
        <w:trPr>
          <w:trHeight w:val="273"/>
        </w:trPr>
        <w:tc>
          <w:tcPr>
            <w:tcW w:w="3970" w:type="dxa"/>
            <w:vAlign w:val="center"/>
          </w:tcPr>
          <w:p w:rsidR="00287B1D" w:rsidRDefault="00BB6CB9">
            <w:pPr>
              <w:spacing w:after="0" w:line="240" w:lineRule="auto"/>
              <w:rPr>
                <w:color w:val="0033CC"/>
                <w:sz w:val="12"/>
                <w:szCs w:val="12"/>
              </w:rPr>
            </w:pPr>
            <w:r>
              <w:rPr>
                <w:color w:val="FF0000"/>
                <w:sz w:val="12"/>
                <w:szCs w:val="12"/>
              </w:rPr>
              <w:t>Sorpční náplně pro mineralizaci, ztvrzování vody (</w:t>
            </w:r>
            <w:r>
              <w:rPr>
                <w:b/>
                <w:color w:val="FF0000"/>
                <w:sz w:val="12"/>
                <w:szCs w:val="12"/>
              </w:rPr>
              <w:t>6</w:t>
            </w:r>
            <w:r>
              <w:rPr>
                <w:color w:val="FF0000"/>
                <w:sz w:val="12"/>
                <w:szCs w:val="12"/>
              </w:rPr>
              <w:t xml:space="preserve"> měsíců, nebo)</w:t>
            </w:r>
          </w:p>
        </w:tc>
        <w:tc>
          <w:tcPr>
            <w:tcW w:w="1560" w:type="dxa"/>
            <w:vAlign w:val="center"/>
          </w:tcPr>
          <w:p w:rsidR="00287B1D" w:rsidRDefault="00BB6CB9">
            <w:pPr>
              <w:spacing w:after="0" w:line="240" w:lineRule="auto"/>
              <w:jc w:val="center"/>
              <w:rPr>
                <w:color w:val="0033CC"/>
                <w:sz w:val="12"/>
                <w:szCs w:val="12"/>
              </w:rPr>
            </w:pPr>
            <w:r>
              <w:rPr>
                <w:color w:val="FF0000"/>
                <w:sz w:val="12"/>
                <w:szCs w:val="12"/>
              </w:rPr>
              <w:t>7500 litrů</w:t>
            </w:r>
          </w:p>
        </w:tc>
        <w:tc>
          <w:tcPr>
            <w:tcW w:w="1013" w:type="dxa"/>
            <w:vAlign w:val="center"/>
          </w:tcPr>
          <w:p w:rsidR="00287B1D" w:rsidRDefault="00BB6CB9">
            <w:pPr>
              <w:spacing w:after="0" w:line="240" w:lineRule="auto"/>
              <w:jc w:val="center"/>
              <w:rPr>
                <w:rFonts w:cstheme="minorHAnsi"/>
                <w:color w:val="000000" w:themeColor="text1"/>
                <w:sz w:val="12"/>
                <w:szCs w:val="12"/>
              </w:rPr>
            </w:pPr>
            <w:r>
              <w:rPr>
                <w:rFonts w:cstheme="minorHAnsi"/>
                <w:color w:val="000000" w:themeColor="text1"/>
                <w:sz w:val="12"/>
                <w:szCs w:val="12"/>
              </w:rPr>
              <w:t>1 x ½ roku</w:t>
            </w:r>
          </w:p>
        </w:tc>
        <w:tc>
          <w:tcPr>
            <w:tcW w:w="3135" w:type="dxa"/>
            <w:vAlign w:val="center"/>
          </w:tcPr>
          <w:p w:rsidR="00287B1D" w:rsidRDefault="00BB6CB9">
            <w:pPr>
              <w:spacing w:after="0" w:line="240" w:lineRule="auto"/>
              <w:rPr>
                <w:rFonts w:cstheme="minorHAnsi"/>
                <w:color w:val="000000" w:themeColor="text1"/>
                <w:sz w:val="12"/>
                <w:szCs w:val="12"/>
              </w:rPr>
            </w:pPr>
            <w:r>
              <w:rPr>
                <w:rFonts w:cstheme="minorHAnsi"/>
                <w:color w:val="000000" w:themeColor="text1"/>
                <w:sz w:val="12"/>
                <w:szCs w:val="12"/>
              </w:rPr>
              <w:t>Ztvrzování vody</w:t>
            </w:r>
          </w:p>
        </w:tc>
      </w:tr>
      <w:tr w:rsidR="00287B1D" w:rsidTr="00C301C0">
        <w:trPr>
          <w:trHeight w:val="273"/>
        </w:trPr>
        <w:tc>
          <w:tcPr>
            <w:tcW w:w="3970" w:type="dxa"/>
            <w:vAlign w:val="center"/>
          </w:tcPr>
          <w:p w:rsidR="00287B1D" w:rsidRDefault="00BB6CB9">
            <w:pPr>
              <w:spacing w:after="0" w:line="240" w:lineRule="auto"/>
              <w:rPr>
                <w:color w:val="FF0000"/>
                <w:sz w:val="12"/>
                <w:szCs w:val="12"/>
              </w:rPr>
            </w:pPr>
            <w:r>
              <w:rPr>
                <w:color w:val="FF0000"/>
                <w:sz w:val="12"/>
                <w:szCs w:val="12"/>
              </w:rPr>
              <w:t>Filtrační vložka GAC (</w:t>
            </w:r>
            <w:r>
              <w:rPr>
                <w:b/>
                <w:color w:val="FF0000"/>
                <w:sz w:val="12"/>
                <w:szCs w:val="12"/>
              </w:rPr>
              <w:t>6</w:t>
            </w:r>
            <w:r>
              <w:rPr>
                <w:color w:val="FF0000"/>
                <w:sz w:val="12"/>
                <w:szCs w:val="12"/>
              </w:rPr>
              <w:t xml:space="preserve"> měsíců, nebo)</w:t>
            </w:r>
          </w:p>
        </w:tc>
        <w:tc>
          <w:tcPr>
            <w:tcW w:w="1560" w:type="dxa"/>
            <w:vAlign w:val="center"/>
          </w:tcPr>
          <w:p w:rsidR="00287B1D" w:rsidRDefault="00BB6CB9">
            <w:pPr>
              <w:spacing w:after="0" w:line="240" w:lineRule="auto"/>
              <w:jc w:val="center"/>
              <w:rPr>
                <w:color w:val="FF0000"/>
                <w:sz w:val="12"/>
                <w:szCs w:val="12"/>
              </w:rPr>
            </w:pPr>
            <w:r>
              <w:rPr>
                <w:color w:val="FF0000"/>
                <w:sz w:val="12"/>
                <w:szCs w:val="12"/>
              </w:rPr>
              <w:t>7 500 litrů</w:t>
            </w:r>
          </w:p>
        </w:tc>
        <w:tc>
          <w:tcPr>
            <w:tcW w:w="1013" w:type="dxa"/>
            <w:vAlign w:val="center"/>
          </w:tcPr>
          <w:p w:rsidR="00287B1D" w:rsidRDefault="00BB6CB9">
            <w:pPr>
              <w:spacing w:after="0" w:line="240" w:lineRule="auto"/>
              <w:jc w:val="center"/>
              <w:rPr>
                <w:rFonts w:cstheme="minorHAnsi"/>
                <w:sz w:val="12"/>
                <w:szCs w:val="12"/>
              </w:rPr>
            </w:pPr>
            <w:r>
              <w:rPr>
                <w:rFonts w:cstheme="minorHAnsi"/>
                <w:sz w:val="12"/>
                <w:szCs w:val="12"/>
              </w:rPr>
              <w:t>1 x ½ roku</w:t>
            </w:r>
          </w:p>
        </w:tc>
        <w:tc>
          <w:tcPr>
            <w:tcW w:w="3135" w:type="dxa"/>
            <w:vAlign w:val="center"/>
          </w:tcPr>
          <w:p w:rsidR="00287B1D" w:rsidRDefault="00287B1D">
            <w:pPr>
              <w:spacing w:after="0" w:line="240" w:lineRule="auto"/>
              <w:rPr>
                <w:rFonts w:cstheme="minorHAnsi"/>
                <w:sz w:val="12"/>
                <w:szCs w:val="12"/>
              </w:rPr>
            </w:pPr>
          </w:p>
        </w:tc>
      </w:tr>
      <w:tr w:rsidR="00287B1D" w:rsidTr="00C301C0">
        <w:trPr>
          <w:trHeight w:val="273"/>
        </w:trPr>
        <w:tc>
          <w:tcPr>
            <w:tcW w:w="3970" w:type="dxa"/>
            <w:vAlign w:val="center"/>
          </w:tcPr>
          <w:p w:rsidR="00287B1D" w:rsidRDefault="00C301C0">
            <w:pPr>
              <w:spacing w:after="0" w:line="240" w:lineRule="auto"/>
              <w:rPr>
                <w:color w:val="0033CC"/>
                <w:sz w:val="12"/>
                <w:szCs w:val="12"/>
              </w:rPr>
            </w:pPr>
            <w:r>
              <w:rPr>
                <w:color w:val="0033CC"/>
                <w:sz w:val="12"/>
                <w:szCs w:val="12"/>
              </w:rPr>
              <w:t>Nutná desinfekce H</w:t>
            </w:r>
            <w:r w:rsidRPr="00C301C0">
              <w:rPr>
                <w:color w:val="0033CC"/>
                <w:sz w:val="12"/>
                <w:szCs w:val="12"/>
                <w:vertAlign w:val="subscript"/>
              </w:rPr>
              <w:t>2</w:t>
            </w:r>
            <w:r>
              <w:rPr>
                <w:color w:val="0033CC"/>
                <w:sz w:val="12"/>
                <w:szCs w:val="12"/>
              </w:rPr>
              <w:t>O</w:t>
            </w:r>
            <w:r w:rsidRPr="00C301C0">
              <w:rPr>
                <w:color w:val="0033CC"/>
                <w:sz w:val="12"/>
                <w:szCs w:val="12"/>
                <w:vertAlign w:val="subscript"/>
              </w:rPr>
              <w:t>2</w:t>
            </w:r>
            <w:r>
              <w:rPr>
                <w:color w:val="0033CC"/>
                <w:sz w:val="12"/>
                <w:szCs w:val="12"/>
              </w:rPr>
              <w:t xml:space="preserve"> po každém zásahu</w:t>
            </w:r>
          </w:p>
        </w:tc>
        <w:tc>
          <w:tcPr>
            <w:tcW w:w="1560" w:type="dxa"/>
            <w:vAlign w:val="center"/>
          </w:tcPr>
          <w:p w:rsidR="00287B1D" w:rsidRDefault="00BB6CB9">
            <w:pPr>
              <w:spacing w:after="0" w:line="240" w:lineRule="auto"/>
              <w:jc w:val="center"/>
              <w:rPr>
                <w:color w:val="0033CC"/>
                <w:sz w:val="12"/>
                <w:szCs w:val="12"/>
              </w:rPr>
            </w:pPr>
            <w:r>
              <w:rPr>
                <w:color w:val="0033CC"/>
                <w:sz w:val="12"/>
                <w:szCs w:val="12"/>
              </w:rPr>
              <w:t>X</w:t>
            </w:r>
          </w:p>
        </w:tc>
        <w:tc>
          <w:tcPr>
            <w:tcW w:w="1013" w:type="dxa"/>
            <w:vAlign w:val="center"/>
          </w:tcPr>
          <w:p w:rsidR="00287B1D" w:rsidRDefault="00BB6CB9">
            <w:pPr>
              <w:spacing w:after="0" w:line="240" w:lineRule="auto"/>
              <w:jc w:val="center"/>
              <w:rPr>
                <w:rFonts w:cstheme="minorHAnsi"/>
                <w:sz w:val="12"/>
                <w:szCs w:val="12"/>
              </w:rPr>
            </w:pPr>
            <w:r>
              <w:rPr>
                <w:rFonts w:cstheme="minorHAnsi"/>
                <w:sz w:val="12"/>
                <w:szCs w:val="12"/>
              </w:rPr>
              <w:t>x</w:t>
            </w:r>
          </w:p>
        </w:tc>
        <w:tc>
          <w:tcPr>
            <w:tcW w:w="3135" w:type="dxa"/>
            <w:vAlign w:val="center"/>
          </w:tcPr>
          <w:p w:rsidR="00287B1D" w:rsidRDefault="00287B1D">
            <w:pPr>
              <w:spacing w:after="0" w:line="240" w:lineRule="auto"/>
              <w:rPr>
                <w:rFonts w:cstheme="minorHAnsi"/>
                <w:sz w:val="12"/>
                <w:szCs w:val="12"/>
              </w:rPr>
            </w:pPr>
          </w:p>
        </w:tc>
      </w:tr>
      <w:tr w:rsidR="00C301C0" w:rsidTr="00C301C0">
        <w:trPr>
          <w:trHeight w:val="273"/>
        </w:trPr>
        <w:tc>
          <w:tcPr>
            <w:tcW w:w="3970" w:type="dxa"/>
            <w:vAlign w:val="center"/>
          </w:tcPr>
          <w:p w:rsidR="00C301C0" w:rsidRDefault="00C301C0" w:rsidP="00D204D8">
            <w:pPr>
              <w:spacing w:after="0" w:line="240" w:lineRule="auto"/>
              <w:rPr>
                <w:color w:val="0033CC"/>
                <w:sz w:val="12"/>
                <w:szCs w:val="12"/>
              </w:rPr>
            </w:pPr>
            <w:r>
              <w:rPr>
                <w:color w:val="0033CC"/>
                <w:sz w:val="12"/>
                <w:szCs w:val="12"/>
              </w:rPr>
              <w:t xml:space="preserve">Nutný </w:t>
            </w:r>
            <w:proofErr w:type="gramStart"/>
            <w:r>
              <w:rPr>
                <w:color w:val="0033CC"/>
                <w:sz w:val="12"/>
                <w:szCs w:val="12"/>
              </w:rPr>
              <w:t>proplach  NaCl</w:t>
            </w:r>
            <w:proofErr w:type="gramEnd"/>
            <w:r>
              <w:rPr>
                <w:color w:val="0033CC"/>
                <w:sz w:val="12"/>
                <w:szCs w:val="12"/>
              </w:rPr>
              <w:t xml:space="preserve"> po ½ roce</w:t>
            </w:r>
            <w:r>
              <w:rPr>
                <w:color w:val="0033CC"/>
                <w:sz w:val="12"/>
                <w:szCs w:val="12"/>
                <w:vertAlign w:val="superscript"/>
              </w:rPr>
              <w:t>a)</w:t>
            </w:r>
          </w:p>
        </w:tc>
        <w:tc>
          <w:tcPr>
            <w:tcW w:w="1560" w:type="dxa"/>
            <w:vAlign w:val="center"/>
          </w:tcPr>
          <w:p w:rsidR="00C301C0" w:rsidRDefault="00C301C0" w:rsidP="00D204D8">
            <w:pPr>
              <w:spacing w:after="0" w:line="240" w:lineRule="auto"/>
              <w:jc w:val="center"/>
              <w:rPr>
                <w:color w:val="0033CC"/>
                <w:sz w:val="12"/>
                <w:szCs w:val="12"/>
              </w:rPr>
            </w:pPr>
            <w:r>
              <w:rPr>
                <w:color w:val="0033CC"/>
                <w:sz w:val="12"/>
                <w:szCs w:val="12"/>
              </w:rPr>
              <w:t>X</w:t>
            </w:r>
          </w:p>
        </w:tc>
        <w:tc>
          <w:tcPr>
            <w:tcW w:w="1013" w:type="dxa"/>
            <w:vAlign w:val="center"/>
          </w:tcPr>
          <w:p w:rsidR="00C301C0" w:rsidRDefault="00C301C0" w:rsidP="00D204D8">
            <w:pPr>
              <w:spacing w:after="0" w:line="240" w:lineRule="auto"/>
              <w:jc w:val="center"/>
              <w:rPr>
                <w:rFonts w:cstheme="minorHAnsi"/>
                <w:sz w:val="12"/>
                <w:szCs w:val="12"/>
              </w:rPr>
            </w:pPr>
            <w:r>
              <w:rPr>
                <w:rFonts w:cstheme="minorHAnsi"/>
                <w:sz w:val="12"/>
                <w:szCs w:val="12"/>
              </w:rPr>
              <w:t>x</w:t>
            </w:r>
          </w:p>
        </w:tc>
        <w:tc>
          <w:tcPr>
            <w:tcW w:w="3135" w:type="dxa"/>
            <w:vAlign w:val="center"/>
          </w:tcPr>
          <w:p w:rsidR="00C301C0" w:rsidRDefault="00C301C0">
            <w:pPr>
              <w:spacing w:after="0" w:line="240" w:lineRule="auto"/>
              <w:rPr>
                <w:rFonts w:cstheme="minorHAnsi"/>
                <w:sz w:val="12"/>
                <w:szCs w:val="12"/>
              </w:rPr>
            </w:pPr>
          </w:p>
        </w:tc>
      </w:tr>
      <w:tr w:rsidR="00C301C0" w:rsidTr="00C301C0">
        <w:trPr>
          <w:trHeight w:val="273"/>
        </w:trPr>
        <w:tc>
          <w:tcPr>
            <w:tcW w:w="3970" w:type="dxa"/>
            <w:vAlign w:val="center"/>
          </w:tcPr>
          <w:p w:rsidR="00C301C0" w:rsidRDefault="00C301C0">
            <w:pPr>
              <w:spacing w:after="0" w:line="240" w:lineRule="auto"/>
              <w:rPr>
                <w:color w:val="0033CC"/>
                <w:sz w:val="12"/>
                <w:szCs w:val="12"/>
              </w:rPr>
            </w:pPr>
            <w:r>
              <w:rPr>
                <w:color w:val="0033CC"/>
                <w:sz w:val="12"/>
                <w:szCs w:val="12"/>
              </w:rPr>
              <w:t>Nutný proplach  H2O – permeátem  po ½ roce</w:t>
            </w:r>
            <w:r>
              <w:rPr>
                <w:color w:val="0000FF"/>
                <w:sz w:val="12"/>
                <w:szCs w:val="12"/>
                <w:vertAlign w:val="superscript"/>
              </w:rPr>
              <w:t xml:space="preserve"> b)</w:t>
            </w:r>
          </w:p>
        </w:tc>
        <w:tc>
          <w:tcPr>
            <w:tcW w:w="1560" w:type="dxa"/>
            <w:vAlign w:val="center"/>
          </w:tcPr>
          <w:p w:rsidR="00C301C0" w:rsidRDefault="00C301C0">
            <w:pPr>
              <w:spacing w:after="0" w:line="240" w:lineRule="auto"/>
              <w:jc w:val="center"/>
              <w:rPr>
                <w:color w:val="0033CC"/>
                <w:sz w:val="12"/>
                <w:szCs w:val="12"/>
              </w:rPr>
            </w:pPr>
            <w:r>
              <w:rPr>
                <w:color w:val="0033CC"/>
                <w:sz w:val="12"/>
                <w:szCs w:val="12"/>
              </w:rPr>
              <w:t>x</w:t>
            </w:r>
          </w:p>
        </w:tc>
        <w:tc>
          <w:tcPr>
            <w:tcW w:w="1013" w:type="dxa"/>
            <w:vAlign w:val="center"/>
          </w:tcPr>
          <w:p w:rsidR="00C301C0" w:rsidRDefault="00C301C0">
            <w:pPr>
              <w:spacing w:after="0" w:line="240" w:lineRule="auto"/>
              <w:jc w:val="center"/>
              <w:rPr>
                <w:rFonts w:cstheme="minorHAnsi"/>
                <w:sz w:val="12"/>
                <w:szCs w:val="12"/>
              </w:rPr>
            </w:pPr>
            <w:r>
              <w:rPr>
                <w:rFonts w:cstheme="minorHAnsi"/>
                <w:sz w:val="12"/>
                <w:szCs w:val="12"/>
              </w:rPr>
              <w:t>x</w:t>
            </w:r>
          </w:p>
        </w:tc>
        <w:tc>
          <w:tcPr>
            <w:tcW w:w="3135" w:type="dxa"/>
            <w:vAlign w:val="center"/>
          </w:tcPr>
          <w:p w:rsidR="00C301C0" w:rsidRDefault="00C301C0">
            <w:pPr>
              <w:spacing w:after="0" w:line="240" w:lineRule="auto"/>
              <w:rPr>
                <w:rFonts w:cstheme="minorHAnsi"/>
                <w:sz w:val="12"/>
                <w:szCs w:val="12"/>
              </w:rPr>
            </w:pPr>
          </w:p>
        </w:tc>
      </w:tr>
      <w:tr w:rsidR="00C301C0" w:rsidTr="00C301C0">
        <w:trPr>
          <w:trHeight w:val="258"/>
        </w:trPr>
        <w:tc>
          <w:tcPr>
            <w:tcW w:w="3970" w:type="dxa"/>
            <w:vAlign w:val="center"/>
          </w:tcPr>
          <w:p w:rsidR="00C301C0" w:rsidRDefault="00C301C0">
            <w:pPr>
              <w:spacing w:after="0" w:line="240" w:lineRule="auto"/>
              <w:rPr>
                <w:color w:val="0033CC"/>
                <w:sz w:val="12"/>
                <w:szCs w:val="12"/>
              </w:rPr>
            </w:pPr>
            <w:r>
              <w:rPr>
                <w:color w:val="FF0000"/>
                <w:sz w:val="12"/>
                <w:szCs w:val="12"/>
              </w:rPr>
              <w:t>Sedimentační UF 0.1 modul (</w:t>
            </w:r>
            <w:r>
              <w:rPr>
                <w:b/>
                <w:color w:val="FF0000"/>
                <w:sz w:val="12"/>
                <w:szCs w:val="12"/>
              </w:rPr>
              <w:t>6</w:t>
            </w:r>
            <w:r>
              <w:rPr>
                <w:color w:val="FF0000"/>
                <w:sz w:val="12"/>
                <w:szCs w:val="12"/>
              </w:rPr>
              <w:t xml:space="preserve"> měsíců, nebo)</w:t>
            </w:r>
          </w:p>
        </w:tc>
        <w:tc>
          <w:tcPr>
            <w:tcW w:w="1560" w:type="dxa"/>
            <w:vAlign w:val="center"/>
          </w:tcPr>
          <w:p w:rsidR="00C301C0" w:rsidRDefault="00C301C0">
            <w:pPr>
              <w:spacing w:after="0" w:line="240" w:lineRule="auto"/>
              <w:jc w:val="center"/>
              <w:rPr>
                <w:color w:val="0033CC"/>
                <w:sz w:val="12"/>
                <w:szCs w:val="12"/>
              </w:rPr>
            </w:pPr>
            <w:r>
              <w:rPr>
                <w:color w:val="FF0000"/>
                <w:sz w:val="12"/>
                <w:szCs w:val="12"/>
              </w:rPr>
              <w:t>7 500 litrů</w:t>
            </w:r>
          </w:p>
        </w:tc>
        <w:tc>
          <w:tcPr>
            <w:tcW w:w="1013" w:type="dxa"/>
            <w:vAlign w:val="center"/>
          </w:tcPr>
          <w:p w:rsidR="00C301C0" w:rsidRDefault="00C301C0">
            <w:pPr>
              <w:spacing w:after="0" w:line="240" w:lineRule="auto"/>
              <w:jc w:val="center"/>
              <w:rPr>
                <w:rFonts w:cstheme="minorHAnsi"/>
                <w:sz w:val="12"/>
                <w:szCs w:val="12"/>
              </w:rPr>
            </w:pPr>
            <w:r>
              <w:rPr>
                <w:rFonts w:cstheme="minorHAnsi"/>
                <w:sz w:val="12"/>
                <w:szCs w:val="12"/>
              </w:rPr>
              <w:t>1 x ½ roku</w:t>
            </w:r>
          </w:p>
        </w:tc>
        <w:tc>
          <w:tcPr>
            <w:tcW w:w="3135" w:type="dxa"/>
            <w:vAlign w:val="center"/>
          </w:tcPr>
          <w:p w:rsidR="00C301C0" w:rsidRDefault="00C301C0">
            <w:pPr>
              <w:spacing w:after="0" w:line="240" w:lineRule="auto"/>
              <w:rPr>
                <w:rFonts w:cstheme="minorHAnsi"/>
                <w:sz w:val="12"/>
                <w:szCs w:val="12"/>
              </w:rPr>
            </w:pPr>
          </w:p>
        </w:tc>
      </w:tr>
      <w:tr w:rsidR="00C301C0" w:rsidTr="00C301C0">
        <w:trPr>
          <w:trHeight w:val="273"/>
        </w:trPr>
        <w:tc>
          <w:tcPr>
            <w:tcW w:w="3970" w:type="dxa"/>
            <w:vAlign w:val="center"/>
          </w:tcPr>
          <w:p w:rsidR="00C301C0" w:rsidRDefault="00C301C0">
            <w:pPr>
              <w:spacing w:after="0" w:line="240" w:lineRule="auto"/>
              <w:rPr>
                <w:color w:val="0033CC"/>
                <w:sz w:val="12"/>
                <w:szCs w:val="12"/>
              </w:rPr>
            </w:pPr>
            <w:r>
              <w:rPr>
                <w:color w:val="FF0000"/>
                <w:sz w:val="12"/>
                <w:szCs w:val="12"/>
              </w:rPr>
              <w:t>Sedimentační UF/NF 0.02 modul (</w:t>
            </w:r>
            <w:r>
              <w:rPr>
                <w:b/>
                <w:color w:val="FF0000"/>
                <w:sz w:val="12"/>
                <w:szCs w:val="12"/>
              </w:rPr>
              <w:t>6</w:t>
            </w:r>
            <w:r>
              <w:rPr>
                <w:color w:val="FF0000"/>
                <w:sz w:val="12"/>
                <w:szCs w:val="12"/>
              </w:rPr>
              <w:t xml:space="preserve"> měsíců, nebo)</w:t>
            </w:r>
          </w:p>
        </w:tc>
        <w:tc>
          <w:tcPr>
            <w:tcW w:w="1560" w:type="dxa"/>
            <w:vAlign w:val="center"/>
          </w:tcPr>
          <w:p w:rsidR="00C301C0" w:rsidRDefault="00C301C0">
            <w:pPr>
              <w:spacing w:after="0" w:line="240" w:lineRule="auto"/>
              <w:jc w:val="center"/>
              <w:rPr>
                <w:color w:val="0033CC"/>
                <w:sz w:val="12"/>
                <w:szCs w:val="12"/>
              </w:rPr>
            </w:pPr>
            <w:r>
              <w:rPr>
                <w:color w:val="FF0000"/>
                <w:sz w:val="12"/>
                <w:szCs w:val="12"/>
              </w:rPr>
              <w:t>7 500 litrů</w:t>
            </w:r>
          </w:p>
        </w:tc>
        <w:tc>
          <w:tcPr>
            <w:tcW w:w="1013" w:type="dxa"/>
            <w:vAlign w:val="center"/>
          </w:tcPr>
          <w:p w:rsidR="00C301C0" w:rsidRDefault="00C301C0">
            <w:pPr>
              <w:spacing w:after="0" w:line="240" w:lineRule="auto"/>
              <w:jc w:val="center"/>
              <w:rPr>
                <w:rFonts w:cstheme="minorHAnsi"/>
                <w:sz w:val="12"/>
                <w:szCs w:val="12"/>
              </w:rPr>
            </w:pPr>
            <w:r>
              <w:rPr>
                <w:rFonts w:cstheme="minorHAnsi"/>
                <w:sz w:val="12"/>
                <w:szCs w:val="12"/>
              </w:rPr>
              <w:t>1 x ½ roku</w:t>
            </w:r>
          </w:p>
        </w:tc>
        <w:tc>
          <w:tcPr>
            <w:tcW w:w="3135" w:type="dxa"/>
            <w:vAlign w:val="center"/>
          </w:tcPr>
          <w:p w:rsidR="00C301C0" w:rsidRDefault="00C301C0">
            <w:pPr>
              <w:spacing w:after="0" w:line="240" w:lineRule="auto"/>
              <w:rPr>
                <w:rFonts w:cstheme="minorHAnsi"/>
                <w:sz w:val="12"/>
                <w:szCs w:val="12"/>
              </w:rPr>
            </w:pPr>
          </w:p>
        </w:tc>
      </w:tr>
      <w:tr w:rsidR="00C301C0" w:rsidTr="00C301C0">
        <w:trPr>
          <w:trHeight w:val="273"/>
        </w:trPr>
        <w:tc>
          <w:tcPr>
            <w:tcW w:w="3970" w:type="dxa"/>
            <w:vAlign w:val="center"/>
          </w:tcPr>
          <w:p w:rsidR="00C301C0" w:rsidRDefault="00C301C0">
            <w:pPr>
              <w:spacing w:after="0" w:line="240" w:lineRule="auto"/>
              <w:rPr>
                <w:color w:val="0033CC"/>
                <w:sz w:val="12"/>
                <w:szCs w:val="12"/>
              </w:rPr>
            </w:pPr>
            <w:r>
              <w:rPr>
                <w:color w:val="FF0000"/>
                <w:sz w:val="12"/>
                <w:szCs w:val="12"/>
              </w:rPr>
              <w:t>Spirální nano modul (</w:t>
            </w:r>
            <w:r>
              <w:rPr>
                <w:b/>
                <w:color w:val="FF0000"/>
                <w:sz w:val="12"/>
                <w:szCs w:val="12"/>
              </w:rPr>
              <w:t xml:space="preserve">2 </w:t>
            </w:r>
            <w:r>
              <w:rPr>
                <w:color w:val="FF0000"/>
                <w:sz w:val="12"/>
                <w:szCs w:val="12"/>
              </w:rPr>
              <w:t>roky, nebo)</w:t>
            </w:r>
          </w:p>
        </w:tc>
        <w:tc>
          <w:tcPr>
            <w:tcW w:w="1560" w:type="dxa"/>
            <w:vAlign w:val="center"/>
          </w:tcPr>
          <w:p w:rsidR="00C301C0" w:rsidRDefault="00C301C0">
            <w:pPr>
              <w:spacing w:after="0" w:line="240" w:lineRule="auto"/>
              <w:jc w:val="center"/>
              <w:rPr>
                <w:color w:val="0033CC"/>
                <w:sz w:val="12"/>
                <w:szCs w:val="12"/>
              </w:rPr>
            </w:pPr>
            <w:r>
              <w:rPr>
                <w:color w:val="FF0000"/>
                <w:sz w:val="12"/>
                <w:szCs w:val="12"/>
              </w:rPr>
              <w:t>30 000 litrů</w:t>
            </w:r>
          </w:p>
        </w:tc>
        <w:tc>
          <w:tcPr>
            <w:tcW w:w="1013" w:type="dxa"/>
            <w:vAlign w:val="center"/>
          </w:tcPr>
          <w:p w:rsidR="00C301C0" w:rsidRDefault="00C301C0">
            <w:pPr>
              <w:spacing w:after="0" w:line="240" w:lineRule="auto"/>
              <w:jc w:val="center"/>
              <w:rPr>
                <w:rFonts w:cstheme="minorHAnsi"/>
                <w:sz w:val="12"/>
                <w:szCs w:val="12"/>
              </w:rPr>
            </w:pPr>
            <w:r>
              <w:rPr>
                <w:rFonts w:cstheme="minorHAnsi"/>
                <w:sz w:val="12"/>
                <w:szCs w:val="12"/>
              </w:rPr>
              <w:t>1 x za 2 roky</w:t>
            </w:r>
          </w:p>
        </w:tc>
        <w:tc>
          <w:tcPr>
            <w:tcW w:w="3135" w:type="dxa"/>
            <w:vAlign w:val="center"/>
          </w:tcPr>
          <w:p w:rsidR="00C301C0" w:rsidRDefault="00C301C0">
            <w:pPr>
              <w:spacing w:after="0" w:line="240" w:lineRule="auto"/>
              <w:rPr>
                <w:rFonts w:cstheme="minorHAnsi"/>
                <w:sz w:val="12"/>
                <w:szCs w:val="12"/>
              </w:rPr>
            </w:pPr>
          </w:p>
        </w:tc>
      </w:tr>
      <w:tr w:rsidR="00C301C0" w:rsidTr="00C301C0">
        <w:trPr>
          <w:trHeight w:val="273"/>
        </w:trPr>
        <w:tc>
          <w:tcPr>
            <w:tcW w:w="3970" w:type="dxa"/>
            <w:vAlign w:val="center"/>
          </w:tcPr>
          <w:p w:rsidR="00C301C0" w:rsidRDefault="00C301C0">
            <w:pPr>
              <w:spacing w:after="0" w:line="240" w:lineRule="auto"/>
              <w:rPr>
                <w:color w:val="0033CC"/>
                <w:sz w:val="12"/>
                <w:szCs w:val="12"/>
              </w:rPr>
            </w:pPr>
            <w:r>
              <w:rPr>
                <w:color w:val="FF0000"/>
                <w:sz w:val="12"/>
                <w:szCs w:val="12"/>
              </w:rPr>
              <w:lastRenderedPageBreak/>
              <w:t>Postfiltrace  All (</w:t>
            </w:r>
            <w:r>
              <w:rPr>
                <w:b/>
                <w:color w:val="FF0000"/>
                <w:sz w:val="12"/>
                <w:szCs w:val="12"/>
              </w:rPr>
              <w:t xml:space="preserve">144 </w:t>
            </w:r>
            <w:r>
              <w:rPr>
                <w:color w:val="FF0000"/>
                <w:sz w:val="12"/>
                <w:szCs w:val="12"/>
              </w:rPr>
              <w:t>dnů, nebo)</w:t>
            </w:r>
          </w:p>
        </w:tc>
        <w:tc>
          <w:tcPr>
            <w:tcW w:w="1560" w:type="dxa"/>
            <w:vAlign w:val="center"/>
          </w:tcPr>
          <w:p w:rsidR="00C301C0" w:rsidRDefault="00C301C0">
            <w:pPr>
              <w:spacing w:after="0" w:line="240" w:lineRule="auto"/>
              <w:jc w:val="center"/>
              <w:rPr>
                <w:color w:val="0033CC"/>
                <w:sz w:val="12"/>
                <w:szCs w:val="12"/>
              </w:rPr>
            </w:pPr>
            <w:r>
              <w:rPr>
                <w:color w:val="FF0000"/>
                <w:sz w:val="12"/>
                <w:szCs w:val="12"/>
              </w:rPr>
              <w:t>6 000 litrů</w:t>
            </w:r>
          </w:p>
        </w:tc>
        <w:tc>
          <w:tcPr>
            <w:tcW w:w="1013" w:type="dxa"/>
            <w:vAlign w:val="center"/>
          </w:tcPr>
          <w:p w:rsidR="00C301C0" w:rsidRDefault="00C301C0">
            <w:pPr>
              <w:spacing w:after="0" w:line="240" w:lineRule="auto"/>
              <w:jc w:val="center"/>
              <w:rPr>
                <w:rFonts w:cstheme="minorHAnsi"/>
                <w:sz w:val="12"/>
                <w:szCs w:val="12"/>
              </w:rPr>
            </w:pPr>
            <w:r>
              <w:rPr>
                <w:rFonts w:cstheme="minorHAnsi"/>
                <w:sz w:val="12"/>
                <w:szCs w:val="12"/>
              </w:rPr>
              <w:t>1x 144 dnů</w:t>
            </w:r>
          </w:p>
        </w:tc>
        <w:tc>
          <w:tcPr>
            <w:tcW w:w="3135" w:type="dxa"/>
            <w:vAlign w:val="center"/>
          </w:tcPr>
          <w:p w:rsidR="00C301C0" w:rsidRDefault="00C301C0">
            <w:pPr>
              <w:spacing w:after="0" w:line="240" w:lineRule="auto"/>
              <w:rPr>
                <w:rFonts w:cstheme="minorHAnsi"/>
                <w:sz w:val="12"/>
                <w:szCs w:val="12"/>
              </w:rPr>
            </w:pPr>
          </w:p>
        </w:tc>
      </w:tr>
      <w:tr w:rsidR="00C301C0" w:rsidTr="00C301C0">
        <w:trPr>
          <w:trHeight w:val="273"/>
        </w:trPr>
        <w:tc>
          <w:tcPr>
            <w:tcW w:w="3970" w:type="dxa"/>
            <w:vAlign w:val="center"/>
          </w:tcPr>
          <w:p w:rsidR="00C301C0" w:rsidRDefault="00C301C0">
            <w:pPr>
              <w:spacing w:after="0" w:line="240" w:lineRule="auto"/>
              <w:rPr>
                <w:color w:val="0033CC"/>
                <w:sz w:val="12"/>
                <w:szCs w:val="12"/>
              </w:rPr>
            </w:pPr>
            <w:r>
              <w:rPr>
                <w:color w:val="FF0000"/>
                <w:sz w:val="12"/>
                <w:szCs w:val="12"/>
              </w:rPr>
              <w:t>UV-C LED lampa (</w:t>
            </w:r>
            <w:r>
              <w:rPr>
                <w:b/>
                <w:color w:val="FF0000"/>
                <w:sz w:val="12"/>
                <w:szCs w:val="12"/>
              </w:rPr>
              <w:t>3</w:t>
            </w:r>
            <w:r>
              <w:rPr>
                <w:color w:val="FF0000"/>
                <w:sz w:val="12"/>
                <w:szCs w:val="12"/>
              </w:rPr>
              <w:t xml:space="preserve"> roky, nebo)</w:t>
            </w:r>
          </w:p>
        </w:tc>
        <w:tc>
          <w:tcPr>
            <w:tcW w:w="1560" w:type="dxa"/>
            <w:vAlign w:val="center"/>
          </w:tcPr>
          <w:p w:rsidR="00C301C0" w:rsidRDefault="00C301C0">
            <w:pPr>
              <w:spacing w:after="0" w:line="240" w:lineRule="auto"/>
              <w:jc w:val="center"/>
              <w:rPr>
                <w:color w:val="0033CC"/>
                <w:sz w:val="12"/>
                <w:szCs w:val="12"/>
              </w:rPr>
            </w:pPr>
            <w:r>
              <w:rPr>
                <w:color w:val="FF0000"/>
                <w:sz w:val="12"/>
                <w:szCs w:val="12"/>
              </w:rPr>
              <w:t>36 000 litrů</w:t>
            </w:r>
          </w:p>
        </w:tc>
        <w:tc>
          <w:tcPr>
            <w:tcW w:w="1013" w:type="dxa"/>
            <w:vAlign w:val="center"/>
          </w:tcPr>
          <w:p w:rsidR="00C301C0" w:rsidRDefault="00C301C0">
            <w:pPr>
              <w:spacing w:after="0" w:line="240" w:lineRule="auto"/>
              <w:jc w:val="center"/>
              <w:rPr>
                <w:rFonts w:cstheme="minorHAnsi"/>
                <w:sz w:val="12"/>
                <w:szCs w:val="12"/>
              </w:rPr>
            </w:pPr>
            <w:r>
              <w:rPr>
                <w:rFonts w:cstheme="minorHAnsi"/>
                <w:sz w:val="12"/>
                <w:szCs w:val="12"/>
              </w:rPr>
              <w:t>1 x za 3 roky</w:t>
            </w:r>
          </w:p>
        </w:tc>
        <w:tc>
          <w:tcPr>
            <w:tcW w:w="3135" w:type="dxa"/>
            <w:vAlign w:val="center"/>
          </w:tcPr>
          <w:p w:rsidR="00C301C0" w:rsidRDefault="00C301C0">
            <w:pPr>
              <w:spacing w:after="0" w:line="240" w:lineRule="auto"/>
              <w:rPr>
                <w:rFonts w:cstheme="minorHAnsi"/>
                <w:sz w:val="12"/>
                <w:szCs w:val="12"/>
              </w:rPr>
            </w:pPr>
          </w:p>
        </w:tc>
      </w:tr>
      <w:tr w:rsidR="00C301C0" w:rsidTr="00C301C0">
        <w:trPr>
          <w:trHeight w:val="258"/>
        </w:trPr>
        <w:tc>
          <w:tcPr>
            <w:tcW w:w="3970" w:type="dxa"/>
            <w:vAlign w:val="center"/>
          </w:tcPr>
          <w:p w:rsidR="00C301C0" w:rsidRDefault="00C301C0">
            <w:pPr>
              <w:spacing w:after="0" w:line="240" w:lineRule="auto"/>
              <w:rPr>
                <w:color w:val="0033CC"/>
                <w:sz w:val="12"/>
                <w:szCs w:val="12"/>
              </w:rPr>
            </w:pPr>
            <w:r>
              <w:rPr>
                <w:color w:val="0033CC"/>
                <w:sz w:val="12"/>
                <w:szCs w:val="12"/>
              </w:rPr>
              <w:t>UVC – germicidní zářivka</w:t>
            </w:r>
          </w:p>
        </w:tc>
        <w:tc>
          <w:tcPr>
            <w:tcW w:w="1560" w:type="dxa"/>
            <w:vAlign w:val="center"/>
          </w:tcPr>
          <w:p w:rsidR="00C301C0" w:rsidRDefault="00C301C0">
            <w:pPr>
              <w:spacing w:after="0" w:line="240" w:lineRule="auto"/>
              <w:jc w:val="center"/>
              <w:rPr>
                <w:color w:val="0033CC"/>
                <w:sz w:val="12"/>
                <w:szCs w:val="12"/>
              </w:rPr>
            </w:pPr>
            <w:r>
              <w:rPr>
                <w:color w:val="0033CC"/>
                <w:sz w:val="12"/>
                <w:szCs w:val="12"/>
              </w:rPr>
              <w:t>9 000 hodin*</w:t>
            </w:r>
          </w:p>
        </w:tc>
        <w:tc>
          <w:tcPr>
            <w:tcW w:w="1013" w:type="dxa"/>
            <w:vAlign w:val="center"/>
          </w:tcPr>
          <w:p w:rsidR="00C301C0" w:rsidRDefault="00C301C0">
            <w:pPr>
              <w:spacing w:after="0" w:line="240" w:lineRule="auto"/>
              <w:jc w:val="center"/>
              <w:rPr>
                <w:rFonts w:cstheme="minorHAnsi"/>
                <w:sz w:val="12"/>
                <w:szCs w:val="12"/>
              </w:rPr>
            </w:pPr>
            <w:r>
              <w:rPr>
                <w:rFonts w:cstheme="minorHAnsi"/>
                <w:sz w:val="12"/>
                <w:szCs w:val="12"/>
              </w:rPr>
              <w:t>x</w:t>
            </w:r>
          </w:p>
        </w:tc>
        <w:tc>
          <w:tcPr>
            <w:tcW w:w="3135" w:type="dxa"/>
            <w:vAlign w:val="center"/>
          </w:tcPr>
          <w:p w:rsidR="00C301C0" w:rsidRDefault="00C301C0">
            <w:pPr>
              <w:spacing w:after="0" w:line="240" w:lineRule="auto"/>
              <w:rPr>
                <w:rFonts w:cstheme="minorHAnsi"/>
                <w:sz w:val="12"/>
                <w:szCs w:val="12"/>
              </w:rPr>
            </w:pPr>
          </w:p>
        </w:tc>
      </w:tr>
      <w:tr w:rsidR="00C301C0" w:rsidTr="00C301C0">
        <w:trPr>
          <w:trHeight w:val="258"/>
        </w:trPr>
        <w:tc>
          <w:tcPr>
            <w:tcW w:w="3970" w:type="dxa"/>
            <w:vAlign w:val="center"/>
          </w:tcPr>
          <w:p w:rsidR="00C301C0" w:rsidRDefault="00C301C0">
            <w:pPr>
              <w:spacing w:after="0" w:line="240" w:lineRule="auto"/>
              <w:rPr>
                <w:color w:val="0033CC"/>
                <w:sz w:val="12"/>
                <w:szCs w:val="12"/>
              </w:rPr>
            </w:pPr>
            <w:r>
              <w:rPr>
                <w:color w:val="0033CC"/>
                <w:sz w:val="12"/>
                <w:szCs w:val="12"/>
              </w:rPr>
              <w:t>Poměrový ventil</w:t>
            </w:r>
          </w:p>
        </w:tc>
        <w:tc>
          <w:tcPr>
            <w:tcW w:w="1560" w:type="dxa"/>
            <w:vAlign w:val="center"/>
          </w:tcPr>
          <w:p w:rsidR="00C301C0" w:rsidRDefault="00C301C0">
            <w:pPr>
              <w:spacing w:after="0" w:line="240" w:lineRule="auto"/>
              <w:jc w:val="center"/>
              <w:rPr>
                <w:color w:val="0033CC"/>
                <w:sz w:val="12"/>
                <w:szCs w:val="12"/>
              </w:rPr>
            </w:pPr>
            <w:r>
              <w:rPr>
                <w:color w:val="0033CC"/>
                <w:sz w:val="12"/>
                <w:szCs w:val="12"/>
              </w:rPr>
              <w:t>X</w:t>
            </w:r>
          </w:p>
        </w:tc>
        <w:tc>
          <w:tcPr>
            <w:tcW w:w="1013" w:type="dxa"/>
            <w:vAlign w:val="center"/>
          </w:tcPr>
          <w:p w:rsidR="00C301C0" w:rsidRDefault="00C301C0">
            <w:pPr>
              <w:spacing w:after="0" w:line="240" w:lineRule="auto"/>
              <w:jc w:val="center"/>
              <w:rPr>
                <w:rFonts w:cstheme="minorHAnsi"/>
                <w:sz w:val="12"/>
                <w:szCs w:val="12"/>
              </w:rPr>
            </w:pPr>
            <w:r>
              <w:rPr>
                <w:rFonts w:cstheme="minorHAnsi"/>
                <w:sz w:val="12"/>
                <w:szCs w:val="12"/>
              </w:rPr>
              <w:t>1 x 4 roky</w:t>
            </w:r>
          </w:p>
        </w:tc>
        <w:tc>
          <w:tcPr>
            <w:tcW w:w="3135" w:type="dxa"/>
            <w:vAlign w:val="center"/>
          </w:tcPr>
          <w:p w:rsidR="00C301C0" w:rsidRDefault="00C301C0">
            <w:pPr>
              <w:spacing w:after="0" w:line="240" w:lineRule="auto"/>
              <w:rPr>
                <w:rFonts w:cstheme="minorHAnsi"/>
                <w:sz w:val="12"/>
                <w:szCs w:val="12"/>
              </w:rPr>
            </w:pPr>
          </w:p>
        </w:tc>
      </w:tr>
      <w:tr w:rsidR="00C301C0" w:rsidTr="00C301C0">
        <w:trPr>
          <w:trHeight w:val="258"/>
        </w:trPr>
        <w:tc>
          <w:tcPr>
            <w:tcW w:w="3970" w:type="dxa"/>
            <w:vAlign w:val="center"/>
          </w:tcPr>
          <w:p w:rsidR="00C301C0" w:rsidRDefault="00C301C0">
            <w:pPr>
              <w:spacing w:after="0" w:line="240" w:lineRule="auto"/>
              <w:rPr>
                <w:color w:val="0033CC"/>
                <w:sz w:val="12"/>
                <w:szCs w:val="12"/>
              </w:rPr>
            </w:pPr>
            <w:r>
              <w:rPr>
                <w:color w:val="0033CC"/>
                <w:sz w:val="12"/>
                <w:szCs w:val="12"/>
              </w:rPr>
              <w:t xml:space="preserve">Iontová optimalizace </w:t>
            </w:r>
          </w:p>
        </w:tc>
        <w:tc>
          <w:tcPr>
            <w:tcW w:w="1560" w:type="dxa"/>
            <w:vAlign w:val="center"/>
          </w:tcPr>
          <w:p w:rsidR="00C301C0" w:rsidRDefault="00C301C0">
            <w:pPr>
              <w:spacing w:after="0" w:line="240" w:lineRule="auto"/>
              <w:jc w:val="center"/>
              <w:rPr>
                <w:color w:val="0033CC"/>
                <w:sz w:val="12"/>
                <w:szCs w:val="12"/>
              </w:rPr>
            </w:pPr>
            <w:r>
              <w:rPr>
                <w:color w:val="0033CC"/>
                <w:sz w:val="12"/>
                <w:szCs w:val="12"/>
              </w:rPr>
              <w:t>x</w:t>
            </w:r>
          </w:p>
        </w:tc>
        <w:tc>
          <w:tcPr>
            <w:tcW w:w="1013" w:type="dxa"/>
            <w:vAlign w:val="center"/>
          </w:tcPr>
          <w:p w:rsidR="00C301C0" w:rsidRDefault="00C301C0">
            <w:pPr>
              <w:spacing w:after="0" w:line="240" w:lineRule="auto"/>
              <w:jc w:val="center"/>
              <w:rPr>
                <w:rFonts w:cstheme="minorHAnsi"/>
                <w:sz w:val="12"/>
                <w:szCs w:val="12"/>
              </w:rPr>
            </w:pPr>
            <w:r>
              <w:rPr>
                <w:rFonts w:cstheme="minorHAnsi"/>
                <w:sz w:val="12"/>
                <w:szCs w:val="12"/>
              </w:rPr>
              <w:t>1 x 5 let</w:t>
            </w:r>
          </w:p>
        </w:tc>
        <w:tc>
          <w:tcPr>
            <w:tcW w:w="3135" w:type="dxa"/>
            <w:vAlign w:val="center"/>
          </w:tcPr>
          <w:p w:rsidR="00C301C0" w:rsidRDefault="00C301C0">
            <w:pPr>
              <w:spacing w:after="0" w:line="240" w:lineRule="auto"/>
              <w:rPr>
                <w:rFonts w:cstheme="minorHAnsi"/>
                <w:sz w:val="12"/>
                <w:szCs w:val="12"/>
              </w:rPr>
            </w:pPr>
          </w:p>
        </w:tc>
      </w:tr>
      <w:tr w:rsidR="00C301C0" w:rsidTr="00C301C0">
        <w:trPr>
          <w:trHeight w:val="273"/>
        </w:trPr>
        <w:tc>
          <w:tcPr>
            <w:tcW w:w="3970" w:type="dxa"/>
            <w:vAlign w:val="center"/>
          </w:tcPr>
          <w:p w:rsidR="00C301C0" w:rsidRDefault="00C301C0">
            <w:pPr>
              <w:spacing w:after="0" w:line="240" w:lineRule="auto"/>
              <w:rPr>
                <w:color w:val="FF0000"/>
                <w:sz w:val="12"/>
                <w:szCs w:val="12"/>
              </w:rPr>
            </w:pPr>
            <w:r>
              <w:rPr>
                <w:color w:val="0033CC"/>
                <w:sz w:val="12"/>
                <w:szCs w:val="12"/>
              </w:rPr>
              <w:t>Solenoidový ventil</w:t>
            </w:r>
          </w:p>
        </w:tc>
        <w:tc>
          <w:tcPr>
            <w:tcW w:w="1560" w:type="dxa"/>
            <w:vAlign w:val="center"/>
          </w:tcPr>
          <w:p w:rsidR="00C301C0" w:rsidRDefault="00C301C0">
            <w:pPr>
              <w:spacing w:after="0" w:line="240" w:lineRule="auto"/>
              <w:jc w:val="center"/>
              <w:rPr>
                <w:color w:val="FF0000"/>
                <w:sz w:val="12"/>
                <w:szCs w:val="12"/>
              </w:rPr>
            </w:pPr>
            <w:r>
              <w:rPr>
                <w:color w:val="0033CC"/>
                <w:sz w:val="12"/>
                <w:szCs w:val="12"/>
              </w:rPr>
              <w:t>100 000 sepnutí*</w:t>
            </w:r>
          </w:p>
        </w:tc>
        <w:tc>
          <w:tcPr>
            <w:tcW w:w="1013" w:type="dxa"/>
            <w:vAlign w:val="center"/>
          </w:tcPr>
          <w:p w:rsidR="00C301C0" w:rsidRDefault="00C301C0">
            <w:pPr>
              <w:spacing w:after="0" w:line="240" w:lineRule="auto"/>
              <w:jc w:val="center"/>
              <w:rPr>
                <w:rFonts w:cstheme="minorHAnsi"/>
                <w:sz w:val="12"/>
                <w:szCs w:val="12"/>
              </w:rPr>
            </w:pPr>
            <w:r>
              <w:rPr>
                <w:rFonts w:cstheme="minorHAnsi"/>
                <w:sz w:val="12"/>
                <w:szCs w:val="12"/>
              </w:rPr>
              <w:t>x</w:t>
            </w:r>
          </w:p>
        </w:tc>
        <w:tc>
          <w:tcPr>
            <w:tcW w:w="3135" w:type="dxa"/>
            <w:vAlign w:val="center"/>
          </w:tcPr>
          <w:p w:rsidR="00C301C0" w:rsidRDefault="00C301C0">
            <w:pPr>
              <w:spacing w:after="0" w:line="240" w:lineRule="auto"/>
              <w:rPr>
                <w:rFonts w:cstheme="minorHAnsi"/>
                <w:sz w:val="12"/>
                <w:szCs w:val="12"/>
              </w:rPr>
            </w:pPr>
          </w:p>
        </w:tc>
      </w:tr>
      <w:tr w:rsidR="00C301C0" w:rsidTr="00C301C0">
        <w:trPr>
          <w:trHeight w:val="273"/>
        </w:trPr>
        <w:tc>
          <w:tcPr>
            <w:tcW w:w="3970" w:type="dxa"/>
            <w:vAlign w:val="center"/>
          </w:tcPr>
          <w:p w:rsidR="00C301C0" w:rsidRDefault="00C301C0">
            <w:pPr>
              <w:spacing w:after="0" w:line="240" w:lineRule="auto"/>
              <w:rPr>
                <w:color w:val="FF0000"/>
                <w:sz w:val="12"/>
                <w:szCs w:val="12"/>
              </w:rPr>
            </w:pPr>
            <w:r>
              <w:rPr>
                <w:color w:val="0033CC"/>
                <w:sz w:val="12"/>
                <w:szCs w:val="12"/>
              </w:rPr>
              <w:t>Tlakový senzor</w:t>
            </w:r>
          </w:p>
        </w:tc>
        <w:tc>
          <w:tcPr>
            <w:tcW w:w="1560" w:type="dxa"/>
            <w:vAlign w:val="center"/>
          </w:tcPr>
          <w:p w:rsidR="00C301C0" w:rsidRDefault="00C301C0">
            <w:pPr>
              <w:spacing w:after="0" w:line="240" w:lineRule="auto"/>
              <w:jc w:val="center"/>
              <w:rPr>
                <w:color w:val="FF0000"/>
                <w:sz w:val="12"/>
                <w:szCs w:val="12"/>
              </w:rPr>
            </w:pPr>
            <w:r>
              <w:rPr>
                <w:color w:val="0033CC"/>
                <w:sz w:val="12"/>
                <w:szCs w:val="12"/>
              </w:rPr>
              <w:t>50 000 litrů **</w:t>
            </w:r>
          </w:p>
        </w:tc>
        <w:tc>
          <w:tcPr>
            <w:tcW w:w="1013" w:type="dxa"/>
            <w:vAlign w:val="center"/>
          </w:tcPr>
          <w:p w:rsidR="00C301C0" w:rsidRDefault="00C301C0">
            <w:pPr>
              <w:spacing w:after="0" w:line="240" w:lineRule="auto"/>
              <w:jc w:val="center"/>
              <w:rPr>
                <w:rFonts w:cstheme="minorHAnsi"/>
                <w:sz w:val="12"/>
                <w:szCs w:val="12"/>
              </w:rPr>
            </w:pPr>
            <w:r>
              <w:rPr>
                <w:rFonts w:cstheme="minorHAnsi"/>
                <w:sz w:val="12"/>
                <w:szCs w:val="12"/>
              </w:rPr>
              <w:t>1 x za 3 ½  roku</w:t>
            </w:r>
          </w:p>
        </w:tc>
        <w:tc>
          <w:tcPr>
            <w:tcW w:w="3135" w:type="dxa"/>
            <w:vAlign w:val="center"/>
          </w:tcPr>
          <w:p w:rsidR="00C301C0" w:rsidRDefault="00C301C0">
            <w:pPr>
              <w:spacing w:after="0" w:line="240" w:lineRule="auto"/>
              <w:rPr>
                <w:rFonts w:cstheme="minorHAnsi"/>
                <w:sz w:val="12"/>
                <w:szCs w:val="12"/>
              </w:rPr>
            </w:pPr>
          </w:p>
        </w:tc>
      </w:tr>
      <w:tr w:rsidR="00C301C0" w:rsidTr="00C301C0">
        <w:trPr>
          <w:trHeight w:val="273"/>
        </w:trPr>
        <w:tc>
          <w:tcPr>
            <w:tcW w:w="3970" w:type="dxa"/>
            <w:vAlign w:val="center"/>
          </w:tcPr>
          <w:p w:rsidR="00C301C0" w:rsidRDefault="00C301C0">
            <w:pPr>
              <w:spacing w:after="0" w:line="240" w:lineRule="auto"/>
              <w:rPr>
                <w:color w:val="FF0000"/>
                <w:sz w:val="12"/>
                <w:szCs w:val="12"/>
              </w:rPr>
            </w:pPr>
            <w:r>
              <w:rPr>
                <w:color w:val="0033CC"/>
                <w:sz w:val="12"/>
                <w:szCs w:val="12"/>
              </w:rPr>
              <w:t>Sací pumpa</w:t>
            </w:r>
          </w:p>
        </w:tc>
        <w:tc>
          <w:tcPr>
            <w:tcW w:w="1560" w:type="dxa"/>
            <w:vAlign w:val="center"/>
          </w:tcPr>
          <w:p w:rsidR="00C301C0" w:rsidRDefault="00C301C0">
            <w:pPr>
              <w:spacing w:after="0" w:line="240" w:lineRule="auto"/>
              <w:jc w:val="center"/>
              <w:rPr>
                <w:color w:val="FF0000"/>
                <w:sz w:val="12"/>
                <w:szCs w:val="12"/>
              </w:rPr>
            </w:pPr>
            <w:r>
              <w:rPr>
                <w:color w:val="0033CC"/>
                <w:sz w:val="12"/>
                <w:szCs w:val="12"/>
              </w:rPr>
              <w:t>150 000 litrů*</w:t>
            </w:r>
          </w:p>
        </w:tc>
        <w:tc>
          <w:tcPr>
            <w:tcW w:w="1013" w:type="dxa"/>
            <w:vAlign w:val="center"/>
          </w:tcPr>
          <w:p w:rsidR="00C301C0" w:rsidRDefault="00C301C0">
            <w:pPr>
              <w:spacing w:after="0" w:line="240" w:lineRule="auto"/>
              <w:jc w:val="center"/>
              <w:rPr>
                <w:rFonts w:cstheme="minorHAnsi"/>
                <w:sz w:val="12"/>
                <w:szCs w:val="12"/>
              </w:rPr>
            </w:pPr>
            <w:r>
              <w:rPr>
                <w:rFonts w:cstheme="minorHAnsi"/>
                <w:sz w:val="12"/>
                <w:szCs w:val="12"/>
              </w:rPr>
              <w:t>1 x za 10 let</w:t>
            </w:r>
          </w:p>
        </w:tc>
        <w:tc>
          <w:tcPr>
            <w:tcW w:w="3135" w:type="dxa"/>
            <w:vAlign w:val="center"/>
          </w:tcPr>
          <w:p w:rsidR="00C301C0" w:rsidRDefault="00C301C0">
            <w:pPr>
              <w:spacing w:after="0" w:line="240" w:lineRule="auto"/>
              <w:rPr>
                <w:rFonts w:cstheme="minorHAnsi"/>
                <w:sz w:val="12"/>
                <w:szCs w:val="12"/>
              </w:rPr>
            </w:pPr>
          </w:p>
        </w:tc>
      </w:tr>
      <w:tr w:rsidR="00C301C0" w:rsidTr="00C301C0">
        <w:trPr>
          <w:trHeight w:val="258"/>
        </w:trPr>
        <w:tc>
          <w:tcPr>
            <w:tcW w:w="3970" w:type="dxa"/>
            <w:vAlign w:val="center"/>
          </w:tcPr>
          <w:p w:rsidR="00C301C0" w:rsidRDefault="00C301C0">
            <w:pPr>
              <w:spacing w:after="0" w:line="240" w:lineRule="auto"/>
              <w:rPr>
                <w:color w:val="FF0000"/>
                <w:sz w:val="12"/>
                <w:szCs w:val="12"/>
              </w:rPr>
            </w:pPr>
            <w:r>
              <w:rPr>
                <w:color w:val="0033CC"/>
                <w:sz w:val="12"/>
                <w:szCs w:val="12"/>
              </w:rPr>
              <w:t>Průtokoměr</w:t>
            </w:r>
          </w:p>
        </w:tc>
        <w:tc>
          <w:tcPr>
            <w:tcW w:w="1560" w:type="dxa"/>
            <w:vAlign w:val="center"/>
          </w:tcPr>
          <w:p w:rsidR="00C301C0" w:rsidRDefault="00C301C0">
            <w:pPr>
              <w:spacing w:after="0" w:line="240" w:lineRule="auto"/>
              <w:jc w:val="center"/>
              <w:rPr>
                <w:color w:val="FF0000"/>
                <w:sz w:val="12"/>
                <w:szCs w:val="12"/>
              </w:rPr>
            </w:pPr>
            <w:r>
              <w:rPr>
                <w:color w:val="0033CC"/>
                <w:sz w:val="12"/>
                <w:szCs w:val="12"/>
              </w:rPr>
              <w:t>180 000 litrů **</w:t>
            </w:r>
          </w:p>
        </w:tc>
        <w:tc>
          <w:tcPr>
            <w:tcW w:w="1013" w:type="dxa"/>
            <w:vAlign w:val="center"/>
          </w:tcPr>
          <w:p w:rsidR="00C301C0" w:rsidRDefault="00C301C0">
            <w:pPr>
              <w:spacing w:after="0" w:line="240" w:lineRule="auto"/>
              <w:jc w:val="center"/>
              <w:rPr>
                <w:rFonts w:cstheme="minorHAnsi"/>
                <w:sz w:val="12"/>
                <w:szCs w:val="12"/>
              </w:rPr>
            </w:pPr>
            <w:r>
              <w:rPr>
                <w:rFonts w:cstheme="minorHAnsi"/>
                <w:sz w:val="12"/>
                <w:szCs w:val="12"/>
              </w:rPr>
              <w:t>1 x za 12 let</w:t>
            </w:r>
          </w:p>
        </w:tc>
        <w:tc>
          <w:tcPr>
            <w:tcW w:w="3135" w:type="dxa"/>
            <w:vAlign w:val="center"/>
          </w:tcPr>
          <w:p w:rsidR="00C301C0" w:rsidRDefault="00C301C0">
            <w:pPr>
              <w:spacing w:after="0" w:line="240" w:lineRule="auto"/>
              <w:rPr>
                <w:rFonts w:cstheme="minorHAnsi"/>
                <w:sz w:val="12"/>
                <w:szCs w:val="12"/>
              </w:rPr>
            </w:pPr>
          </w:p>
        </w:tc>
      </w:tr>
      <w:tr w:rsidR="00C301C0" w:rsidTr="00C301C0">
        <w:trPr>
          <w:trHeight w:val="295"/>
        </w:trPr>
        <w:tc>
          <w:tcPr>
            <w:tcW w:w="3970" w:type="dxa"/>
            <w:vAlign w:val="center"/>
          </w:tcPr>
          <w:p w:rsidR="00C301C0" w:rsidRDefault="00C301C0">
            <w:pPr>
              <w:spacing w:after="0" w:line="240" w:lineRule="auto"/>
              <w:rPr>
                <w:color w:val="0033CC"/>
                <w:sz w:val="12"/>
                <w:szCs w:val="12"/>
              </w:rPr>
            </w:pPr>
            <w:r>
              <w:rPr>
                <w:color w:val="FF0000"/>
                <w:sz w:val="12"/>
                <w:szCs w:val="12"/>
              </w:rPr>
              <w:t>Regulátor tlaku</w:t>
            </w:r>
          </w:p>
        </w:tc>
        <w:tc>
          <w:tcPr>
            <w:tcW w:w="1560" w:type="dxa"/>
            <w:vAlign w:val="center"/>
          </w:tcPr>
          <w:p w:rsidR="00C301C0" w:rsidRDefault="00C301C0">
            <w:pPr>
              <w:spacing w:after="0" w:line="240" w:lineRule="auto"/>
              <w:jc w:val="center"/>
              <w:rPr>
                <w:color w:val="0033CC"/>
                <w:sz w:val="12"/>
                <w:szCs w:val="12"/>
              </w:rPr>
            </w:pPr>
            <w:r>
              <w:rPr>
                <w:color w:val="FF0000"/>
                <w:sz w:val="12"/>
                <w:szCs w:val="12"/>
              </w:rPr>
              <w:t>250 000 litrů</w:t>
            </w:r>
          </w:p>
        </w:tc>
        <w:tc>
          <w:tcPr>
            <w:tcW w:w="1013" w:type="dxa"/>
            <w:vAlign w:val="center"/>
          </w:tcPr>
          <w:p w:rsidR="00C301C0" w:rsidRDefault="00C301C0">
            <w:pPr>
              <w:spacing w:after="0" w:line="240" w:lineRule="auto"/>
              <w:jc w:val="center"/>
              <w:rPr>
                <w:rFonts w:cstheme="minorHAnsi"/>
                <w:sz w:val="12"/>
                <w:szCs w:val="12"/>
              </w:rPr>
            </w:pPr>
            <w:r>
              <w:rPr>
                <w:rFonts w:cstheme="minorHAnsi"/>
                <w:sz w:val="12"/>
                <w:szCs w:val="12"/>
              </w:rPr>
              <w:t>1 x za 16 let</w:t>
            </w:r>
          </w:p>
        </w:tc>
        <w:tc>
          <w:tcPr>
            <w:tcW w:w="3135" w:type="dxa"/>
            <w:vAlign w:val="center"/>
          </w:tcPr>
          <w:p w:rsidR="00C301C0" w:rsidRDefault="00C301C0">
            <w:pPr>
              <w:spacing w:after="0" w:line="240" w:lineRule="auto"/>
              <w:rPr>
                <w:rFonts w:cstheme="minorHAnsi"/>
                <w:sz w:val="12"/>
                <w:szCs w:val="12"/>
              </w:rPr>
            </w:pPr>
          </w:p>
        </w:tc>
      </w:tr>
      <w:tr w:rsidR="00C301C0" w:rsidTr="00C301C0">
        <w:trPr>
          <w:trHeight w:val="273"/>
        </w:trPr>
        <w:tc>
          <w:tcPr>
            <w:tcW w:w="3970" w:type="dxa"/>
            <w:vAlign w:val="center"/>
          </w:tcPr>
          <w:p w:rsidR="00C301C0" w:rsidRDefault="00C301C0">
            <w:pPr>
              <w:spacing w:after="0" w:line="240" w:lineRule="auto"/>
              <w:rPr>
                <w:color w:val="0033CC"/>
                <w:sz w:val="12"/>
                <w:szCs w:val="12"/>
              </w:rPr>
            </w:pPr>
            <w:r>
              <w:rPr>
                <w:sz w:val="12"/>
                <w:szCs w:val="12"/>
              </w:rPr>
              <w:t>Energoaktivátor</w:t>
            </w:r>
          </w:p>
        </w:tc>
        <w:tc>
          <w:tcPr>
            <w:tcW w:w="1560" w:type="dxa"/>
            <w:vAlign w:val="center"/>
          </w:tcPr>
          <w:p w:rsidR="00C301C0" w:rsidRDefault="00C301C0">
            <w:pPr>
              <w:spacing w:after="0" w:line="240" w:lineRule="auto"/>
              <w:jc w:val="center"/>
              <w:rPr>
                <w:color w:val="0033CC"/>
                <w:sz w:val="12"/>
                <w:szCs w:val="12"/>
              </w:rPr>
            </w:pPr>
            <w:r>
              <w:rPr>
                <w:sz w:val="12"/>
                <w:szCs w:val="12"/>
              </w:rPr>
              <w:t>300 000 litrů</w:t>
            </w:r>
          </w:p>
        </w:tc>
        <w:tc>
          <w:tcPr>
            <w:tcW w:w="1013" w:type="dxa"/>
            <w:vAlign w:val="center"/>
          </w:tcPr>
          <w:p w:rsidR="00C301C0" w:rsidRDefault="00C301C0">
            <w:pPr>
              <w:spacing w:after="0" w:line="240" w:lineRule="auto"/>
              <w:jc w:val="center"/>
              <w:rPr>
                <w:rFonts w:cstheme="minorHAnsi"/>
                <w:sz w:val="12"/>
                <w:szCs w:val="12"/>
              </w:rPr>
            </w:pPr>
            <w:r>
              <w:rPr>
                <w:rFonts w:cstheme="minorHAnsi"/>
                <w:sz w:val="12"/>
                <w:szCs w:val="12"/>
              </w:rPr>
              <w:t>1 x za 20 let</w:t>
            </w:r>
          </w:p>
        </w:tc>
        <w:tc>
          <w:tcPr>
            <w:tcW w:w="3135" w:type="dxa"/>
            <w:vAlign w:val="center"/>
          </w:tcPr>
          <w:p w:rsidR="00C301C0" w:rsidRDefault="00C301C0">
            <w:pPr>
              <w:spacing w:after="0" w:line="240" w:lineRule="auto"/>
              <w:rPr>
                <w:rFonts w:cstheme="minorHAnsi"/>
                <w:sz w:val="12"/>
                <w:szCs w:val="12"/>
              </w:rPr>
            </w:pPr>
            <w:r>
              <w:rPr>
                <w:rFonts w:cstheme="minorHAnsi"/>
                <w:sz w:val="12"/>
                <w:szCs w:val="12"/>
              </w:rPr>
              <w:t xml:space="preserve"> (Aktivní energo voda)</w:t>
            </w:r>
          </w:p>
        </w:tc>
      </w:tr>
    </w:tbl>
    <w:p w:rsidR="00287B1D" w:rsidRDefault="00BB6CB9">
      <w:pPr>
        <w:ind w:left="-284" w:right="850"/>
        <w:rPr>
          <w:rFonts w:eastAsia="Times New Roman" w:cs="Calibri"/>
          <w:bCs/>
          <w:sz w:val="14"/>
          <w:szCs w:val="14"/>
          <w:lang w:eastAsia="cs-CZ"/>
        </w:rPr>
      </w:pPr>
      <w:r>
        <w:br/>
      </w:r>
      <w:proofErr w:type="gramStart"/>
      <w:r>
        <w:rPr>
          <w:rFonts w:eastAsia="Times New Roman" w:cs="Calibri"/>
          <w:bCs/>
          <w:sz w:val="14"/>
          <w:szCs w:val="14"/>
          <w:lang w:eastAsia="cs-CZ"/>
        </w:rPr>
        <w:t>Obr.39</w:t>
      </w:r>
      <w:proofErr w:type="gramEnd"/>
      <w:r>
        <w:rPr>
          <w:rFonts w:eastAsia="Times New Roman" w:cs="Calibri"/>
          <w:bCs/>
          <w:sz w:val="14"/>
          <w:szCs w:val="14"/>
          <w:lang w:eastAsia="cs-CZ"/>
        </w:rPr>
        <w:t xml:space="preserve">; Tab.3 </w:t>
      </w:r>
      <w:r>
        <w:rPr>
          <w:rFonts w:ascii="Arial" w:eastAsia="Times New Roman" w:hAnsi="Arial" w:cs="Arial"/>
          <w:bCs/>
          <w:sz w:val="14"/>
          <w:szCs w:val="14"/>
          <w:lang w:eastAsia="cs-CZ"/>
        </w:rPr>
        <w:t>↑</w:t>
      </w:r>
      <w:r>
        <w:rPr>
          <w:rFonts w:eastAsia="Times New Roman" w:cs="Calibri"/>
          <w:bCs/>
          <w:sz w:val="14"/>
          <w:szCs w:val="14"/>
          <w:lang w:eastAsia="cs-CZ"/>
        </w:rPr>
        <w:t xml:space="preserve"> Vzor pro společnou </w:t>
      </w:r>
      <w:proofErr w:type="gramStart"/>
      <w:r>
        <w:rPr>
          <w:rFonts w:eastAsia="Times New Roman" w:cs="Calibri"/>
          <w:bCs/>
          <w:sz w:val="14"/>
          <w:szCs w:val="14"/>
          <w:lang w:eastAsia="cs-CZ"/>
        </w:rPr>
        <w:t>kapacitu  náplní</w:t>
      </w:r>
      <w:proofErr w:type="gramEnd"/>
      <w:r>
        <w:rPr>
          <w:rFonts w:eastAsia="Times New Roman" w:cs="Calibri"/>
          <w:bCs/>
          <w:sz w:val="14"/>
          <w:szCs w:val="14"/>
          <w:lang w:eastAsia="cs-CZ"/>
        </w:rPr>
        <w:t xml:space="preserve">, aktivních zařízení a vybavení AQ3 Mini, více na </w:t>
      </w:r>
      <w:hyperlink r:id="rId362">
        <w:r>
          <w:rPr>
            <w:rStyle w:val="Internetovodkaz"/>
            <w:rFonts w:eastAsia="Times New Roman" w:cs="Calibri"/>
            <w:bCs/>
            <w:sz w:val="14"/>
            <w:szCs w:val="14"/>
            <w:lang w:eastAsia="cs-CZ"/>
          </w:rPr>
          <w:t>www.vti-cz.com</w:t>
        </w:r>
      </w:hyperlink>
      <w:r>
        <w:rPr>
          <w:rFonts w:eastAsia="Times New Roman" w:cs="Calibri"/>
          <w:bCs/>
          <w:sz w:val="14"/>
          <w:szCs w:val="14"/>
          <w:lang w:eastAsia="cs-CZ"/>
        </w:rPr>
        <w:t>, v sekci ke stažení</w:t>
      </w:r>
    </w:p>
    <w:p w:rsidR="00287B1D" w:rsidRDefault="00287B1D">
      <w:pPr>
        <w:ind w:left="-284" w:right="850"/>
        <w:rPr>
          <w:rFonts w:eastAsia="Times New Roman" w:cs="Calibri"/>
          <w:bCs/>
          <w:sz w:val="14"/>
          <w:szCs w:val="14"/>
          <w:lang w:eastAsia="cs-CZ"/>
        </w:rPr>
      </w:pPr>
    </w:p>
    <w:p w:rsidR="00287B1D" w:rsidRDefault="00BB6CB9">
      <w:pPr>
        <w:ind w:left="-284" w:right="850"/>
        <w:rPr>
          <w:color w:val="0033CC"/>
          <w:sz w:val="16"/>
          <w:szCs w:val="16"/>
        </w:rPr>
      </w:pPr>
      <w:r>
        <w:rPr>
          <w:sz w:val="16"/>
          <w:szCs w:val="16"/>
        </w:rPr>
        <w:t xml:space="preserve">Pozn. U sedimentačních modelů </w:t>
      </w:r>
      <w:r>
        <w:rPr>
          <w:b/>
          <w:sz w:val="16"/>
          <w:szCs w:val="16"/>
        </w:rPr>
        <w:t>AQ3</w:t>
      </w:r>
      <w:r>
        <w:rPr>
          <w:sz w:val="16"/>
          <w:szCs w:val="16"/>
        </w:rPr>
        <w:t xml:space="preserve"> </w:t>
      </w:r>
      <w:proofErr w:type="gramStart"/>
      <w:r>
        <w:rPr>
          <w:b/>
          <w:sz w:val="16"/>
          <w:szCs w:val="16"/>
        </w:rPr>
        <w:t>Mini  Basic</w:t>
      </w:r>
      <w:proofErr w:type="gramEnd"/>
      <w:r>
        <w:rPr>
          <w:sz w:val="16"/>
          <w:szCs w:val="16"/>
        </w:rPr>
        <w:t xml:space="preserve">, nejsou k dispozici veškeré uvedené komponenty, </w:t>
      </w:r>
      <w:r>
        <w:rPr>
          <w:color w:val="0033CC"/>
          <w:sz w:val="16"/>
          <w:szCs w:val="16"/>
        </w:rPr>
        <w:t>které jsou označeny*</w:t>
      </w:r>
    </w:p>
    <w:p w:rsidR="00287B1D" w:rsidRDefault="00287B1D">
      <w:pPr>
        <w:ind w:left="-284" w:right="850"/>
        <w:rPr>
          <w:color w:val="0033CC"/>
          <w:sz w:val="16"/>
          <w:szCs w:val="16"/>
        </w:rPr>
      </w:pPr>
    </w:p>
    <w:p w:rsidR="00287B1D" w:rsidRDefault="00287B1D">
      <w:pPr>
        <w:ind w:left="-284" w:right="850"/>
        <w:rPr>
          <w:color w:val="0033CC"/>
          <w:sz w:val="16"/>
          <w:szCs w:val="16"/>
        </w:rPr>
      </w:pPr>
    </w:p>
    <w:p w:rsidR="00287B1D" w:rsidRDefault="00287B1D">
      <w:pPr>
        <w:ind w:left="-284" w:right="850"/>
        <w:rPr>
          <w:color w:val="0033CC"/>
          <w:sz w:val="16"/>
          <w:szCs w:val="16"/>
        </w:rPr>
      </w:pPr>
    </w:p>
    <w:tbl>
      <w:tblPr>
        <w:tblW w:w="9709" w:type="dxa"/>
        <w:tblInd w:w="70" w:type="dxa"/>
        <w:tblCellMar>
          <w:left w:w="70" w:type="dxa"/>
          <w:right w:w="70" w:type="dxa"/>
        </w:tblCellMar>
        <w:tblLook w:val="04A0" w:firstRow="1" w:lastRow="0" w:firstColumn="1" w:lastColumn="0" w:noHBand="0" w:noVBand="1"/>
      </w:tblPr>
      <w:tblGrid>
        <w:gridCol w:w="3403"/>
        <w:gridCol w:w="993"/>
        <w:gridCol w:w="970"/>
        <w:gridCol w:w="1014"/>
        <w:gridCol w:w="1700"/>
        <w:gridCol w:w="1629"/>
      </w:tblGrid>
      <w:tr w:rsidR="00287B1D">
        <w:trPr>
          <w:trHeight w:val="285"/>
        </w:trPr>
        <w:tc>
          <w:tcPr>
            <w:tcW w:w="9708" w:type="dxa"/>
            <w:gridSpan w:val="6"/>
            <w:tcBorders>
              <w:top w:val="single" w:sz="4" w:space="0" w:color="000000"/>
              <w:left w:val="single" w:sz="4" w:space="0" w:color="000000"/>
              <w:bottom w:val="single" w:sz="4" w:space="0" w:color="000000"/>
              <w:right w:val="single" w:sz="4" w:space="0" w:color="000000"/>
            </w:tcBorders>
            <w:shd w:val="clear" w:color="000000" w:fill="FFFF00"/>
            <w:vAlign w:val="bottom"/>
          </w:tcPr>
          <w:p w:rsidR="00287B1D" w:rsidRDefault="00BB6CB9">
            <w:pPr>
              <w:spacing w:after="0" w:line="240" w:lineRule="auto"/>
              <w:jc w:val="center"/>
              <w:rPr>
                <w:rFonts w:ascii="Calibri" w:eastAsia="Times New Roman" w:hAnsi="Calibri" w:cs="Calibri"/>
                <w:b/>
                <w:bCs/>
                <w:color w:val="7030A0"/>
                <w:lang w:eastAsia="cs-CZ"/>
              </w:rPr>
            </w:pPr>
            <w:bookmarkStart w:id="2" w:name="RANGE!A2%3AD23"/>
            <w:r>
              <w:rPr>
                <w:rFonts w:ascii="Calibri" w:eastAsia="Times New Roman" w:hAnsi="Calibri" w:cs="Calibri"/>
                <w:b/>
                <w:bCs/>
                <w:color w:val="7030A0"/>
                <w:lang w:eastAsia="cs-CZ"/>
              </w:rPr>
              <w:t>Vybavení modelů AQ3 Mini</w:t>
            </w:r>
            <w:bookmarkEnd w:id="2"/>
          </w:p>
        </w:tc>
      </w:tr>
      <w:tr w:rsidR="00287B1D">
        <w:trPr>
          <w:trHeight w:val="285"/>
        </w:trPr>
        <w:tc>
          <w:tcPr>
            <w:tcW w:w="3402"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color w:val="000000"/>
                <w:lang w:eastAsia="cs-CZ"/>
              </w:rPr>
            </w:pPr>
            <w:r>
              <w:rPr>
                <w:rFonts w:ascii="Calibri" w:eastAsia="Times New Roman" w:hAnsi="Calibri" w:cs="Calibri"/>
                <w:b/>
                <w:bCs/>
                <w:color w:val="000000"/>
                <w:lang w:eastAsia="cs-CZ"/>
              </w:rPr>
              <w:t>Název</w:t>
            </w:r>
          </w:p>
        </w:tc>
        <w:tc>
          <w:tcPr>
            <w:tcW w:w="993"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00"/>
                <w:lang w:eastAsia="cs-CZ"/>
              </w:rPr>
            </w:pPr>
            <w:r>
              <w:rPr>
                <w:rFonts w:ascii="Calibri" w:eastAsia="Times New Roman" w:hAnsi="Calibri" w:cs="Calibri"/>
                <w:b/>
                <w:bCs/>
                <w:color w:val="000000"/>
                <w:lang w:eastAsia="cs-CZ"/>
              </w:rPr>
              <w:t>Basic</w:t>
            </w:r>
          </w:p>
        </w:tc>
        <w:tc>
          <w:tcPr>
            <w:tcW w:w="970"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00"/>
                <w:lang w:eastAsia="cs-CZ"/>
              </w:rPr>
            </w:pPr>
            <w:r>
              <w:rPr>
                <w:rFonts w:ascii="Calibri" w:eastAsia="Times New Roman" w:hAnsi="Calibri" w:cs="Calibri"/>
                <w:b/>
                <w:bCs/>
                <w:color w:val="000000"/>
                <w:lang w:eastAsia="cs-CZ"/>
              </w:rPr>
              <w:t>Standard</w:t>
            </w:r>
          </w:p>
        </w:tc>
        <w:tc>
          <w:tcPr>
            <w:tcW w:w="1014"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00"/>
                <w:lang w:eastAsia="cs-CZ"/>
              </w:rPr>
            </w:pPr>
            <w:r>
              <w:rPr>
                <w:rFonts w:ascii="Calibri" w:eastAsia="Times New Roman" w:hAnsi="Calibri" w:cs="Calibri"/>
                <w:b/>
                <w:bCs/>
                <w:color w:val="000000"/>
                <w:lang w:eastAsia="cs-CZ"/>
              </w:rPr>
              <w:t>Exclusive</w:t>
            </w:r>
          </w:p>
        </w:tc>
        <w:tc>
          <w:tcPr>
            <w:tcW w:w="1700"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000000"/>
                <w:lang w:eastAsia="cs-CZ"/>
              </w:rPr>
            </w:pPr>
            <w:r>
              <w:rPr>
                <w:rFonts w:ascii="Calibri" w:eastAsia="Times New Roman" w:hAnsi="Calibri" w:cs="Calibri"/>
                <w:b/>
                <w:bCs/>
                <w:color w:val="000000"/>
                <w:lang w:eastAsia="cs-CZ"/>
              </w:rPr>
              <w:t>Café Standard</w:t>
            </w:r>
          </w:p>
        </w:tc>
        <w:tc>
          <w:tcPr>
            <w:tcW w:w="1629"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000000"/>
                <w:lang w:eastAsia="cs-CZ"/>
              </w:rPr>
            </w:pPr>
            <w:r>
              <w:rPr>
                <w:rFonts w:ascii="Calibri" w:eastAsia="Times New Roman" w:hAnsi="Calibri" w:cs="Calibri"/>
                <w:b/>
                <w:bCs/>
                <w:color w:val="000000"/>
                <w:lang w:eastAsia="cs-CZ"/>
              </w:rPr>
              <w:t>Café Exclusive</w:t>
            </w:r>
          </w:p>
        </w:tc>
      </w:tr>
      <w:tr w:rsidR="00287B1D">
        <w:trPr>
          <w:trHeight w:val="285"/>
        </w:trPr>
        <w:tc>
          <w:tcPr>
            <w:tcW w:w="3402" w:type="dxa"/>
            <w:tcBorders>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strike/>
                <w:sz w:val="18"/>
                <w:szCs w:val="18"/>
                <w:lang w:eastAsia="cs-CZ"/>
              </w:rPr>
            </w:pPr>
            <w:r>
              <w:rPr>
                <w:rFonts w:ascii="Calibri" w:eastAsia="Times New Roman" w:hAnsi="Calibri" w:cs="Calibri"/>
                <w:sz w:val="18"/>
                <w:szCs w:val="18"/>
                <w:lang w:eastAsia="cs-CZ"/>
              </w:rPr>
              <w:t>RDM_2B_komunikační modul</w:t>
            </w:r>
          </w:p>
        </w:tc>
        <w:tc>
          <w:tcPr>
            <w:tcW w:w="993"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strike/>
                <w:color w:val="FF0000"/>
                <w:lang w:eastAsia="cs-CZ"/>
              </w:rPr>
            </w:pPr>
            <w:r>
              <w:rPr>
                <w:rFonts w:ascii="Calibri" w:eastAsia="Times New Roman" w:hAnsi="Calibri" w:cs="Calibri"/>
                <w:b/>
                <w:bCs/>
                <w:color w:val="FF0000"/>
                <w:lang w:eastAsia="cs-CZ"/>
              </w:rPr>
              <w:t>ano</w:t>
            </w:r>
          </w:p>
        </w:tc>
        <w:tc>
          <w:tcPr>
            <w:tcW w:w="970"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strike/>
                <w:color w:val="0000FF"/>
                <w:lang w:eastAsia="cs-CZ"/>
              </w:rPr>
            </w:pPr>
            <w:r>
              <w:rPr>
                <w:rFonts w:ascii="Calibri" w:eastAsia="Times New Roman" w:hAnsi="Calibri" w:cs="Calibri"/>
                <w:b/>
                <w:bCs/>
                <w:color w:val="FF0000"/>
                <w:lang w:eastAsia="cs-CZ"/>
              </w:rPr>
              <w:t>ano</w:t>
            </w:r>
          </w:p>
        </w:tc>
        <w:tc>
          <w:tcPr>
            <w:tcW w:w="1014"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strike/>
                <w:color w:val="0000FF"/>
                <w:lang w:eastAsia="cs-CZ"/>
              </w:rPr>
            </w:pPr>
            <w:r>
              <w:rPr>
                <w:rFonts w:ascii="Calibri" w:eastAsia="Times New Roman" w:hAnsi="Calibri" w:cs="Calibri"/>
                <w:b/>
                <w:bCs/>
                <w:color w:val="FF0000"/>
                <w:lang w:eastAsia="cs-CZ"/>
              </w:rPr>
              <w:t>ano</w:t>
            </w:r>
          </w:p>
        </w:tc>
        <w:tc>
          <w:tcPr>
            <w:tcW w:w="1700"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629"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r>
      <w:tr w:rsidR="00287B1D">
        <w:trPr>
          <w:trHeight w:val="285"/>
        </w:trPr>
        <w:tc>
          <w:tcPr>
            <w:tcW w:w="3402" w:type="dxa"/>
            <w:tcBorders>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sz w:val="18"/>
                <w:szCs w:val="18"/>
                <w:lang w:eastAsia="cs-CZ"/>
              </w:rPr>
            </w:pPr>
            <w:r>
              <w:rPr>
                <w:rFonts w:ascii="Calibri" w:eastAsia="Times New Roman" w:hAnsi="Calibri" w:cs="Calibri"/>
                <w:sz w:val="18"/>
                <w:szCs w:val="18"/>
                <w:lang w:eastAsia="cs-CZ"/>
              </w:rPr>
              <w:t>FM1_průtokoměr</w:t>
            </w:r>
          </w:p>
        </w:tc>
        <w:tc>
          <w:tcPr>
            <w:tcW w:w="993"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0000FF"/>
                <w:lang w:eastAsia="cs-CZ"/>
              </w:rPr>
              <w:t>ne</w:t>
            </w:r>
          </w:p>
        </w:tc>
        <w:tc>
          <w:tcPr>
            <w:tcW w:w="970"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014"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700"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629"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r>
      <w:tr w:rsidR="00287B1D">
        <w:trPr>
          <w:trHeight w:val="285"/>
        </w:trPr>
        <w:tc>
          <w:tcPr>
            <w:tcW w:w="3402" w:type="dxa"/>
            <w:tcBorders>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sz w:val="18"/>
                <w:szCs w:val="18"/>
                <w:lang w:eastAsia="cs-CZ"/>
              </w:rPr>
            </w:pPr>
            <w:r>
              <w:rPr>
                <w:rFonts w:ascii="Calibri" w:eastAsia="Times New Roman" w:hAnsi="Calibri" w:cs="Calibri"/>
                <w:sz w:val="18"/>
                <w:szCs w:val="18"/>
                <w:lang w:eastAsia="cs-CZ"/>
              </w:rPr>
              <w:t>FM2_průtokoměr</w:t>
            </w:r>
          </w:p>
        </w:tc>
        <w:tc>
          <w:tcPr>
            <w:tcW w:w="993"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c>
          <w:tcPr>
            <w:tcW w:w="970"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c>
          <w:tcPr>
            <w:tcW w:w="1014"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c>
          <w:tcPr>
            <w:tcW w:w="1700"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629"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r>
      <w:tr w:rsidR="00287B1D">
        <w:trPr>
          <w:trHeight w:val="285"/>
        </w:trPr>
        <w:tc>
          <w:tcPr>
            <w:tcW w:w="3402" w:type="dxa"/>
            <w:tcBorders>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sz w:val="18"/>
                <w:szCs w:val="18"/>
                <w:lang w:eastAsia="cs-CZ"/>
              </w:rPr>
            </w:pPr>
            <w:r>
              <w:rPr>
                <w:rFonts w:ascii="Calibri" w:eastAsia="Times New Roman" w:hAnsi="Calibri" w:cs="Calibri"/>
                <w:sz w:val="18"/>
                <w:szCs w:val="18"/>
                <w:lang w:eastAsia="cs-CZ"/>
              </w:rPr>
              <w:t>PS1_tlakový sensor</w:t>
            </w:r>
          </w:p>
        </w:tc>
        <w:tc>
          <w:tcPr>
            <w:tcW w:w="993"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0000FF"/>
                <w:lang w:eastAsia="cs-CZ"/>
              </w:rPr>
              <w:t>ne</w:t>
            </w:r>
          </w:p>
        </w:tc>
        <w:tc>
          <w:tcPr>
            <w:tcW w:w="970"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014"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700"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629"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r>
      <w:tr w:rsidR="00287B1D">
        <w:trPr>
          <w:trHeight w:val="300"/>
        </w:trPr>
        <w:tc>
          <w:tcPr>
            <w:tcW w:w="3402" w:type="dxa"/>
            <w:tcBorders>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sz w:val="18"/>
                <w:szCs w:val="18"/>
                <w:lang w:eastAsia="cs-CZ"/>
              </w:rPr>
            </w:pPr>
            <w:r>
              <w:rPr>
                <w:rFonts w:ascii="Calibri" w:eastAsia="Times New Roman" w:hAnsi="Calibri" w:cs="Calibri"/>
                <w:sz w:val="18"/>
                <w:szCs w:val="18"/>
                <w:lang w:eastAsia="cs-CZ"/>
              </w:rPr>
              <w:t>RGB LED_ modul</w:t>
            </w:r>
          </w:p>
        </w:tc>
        <w:tc>
          <w:tcPr>
            <w:tcW w:w="993"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c>
          <w:tcPr>
            <w:tcW w:w="970"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c>
          <w:tcPr>
            <w:tcW w:w="1014"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c>
          <w:tcPr>
            <w:tcW w:w="1700"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629"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r>
      <w:tr w:rsidR="00287B1D">
        <w:trPr>
          <w:trHeight w:val="300"/>
        </w:trPr>
        <w:tc>
          <w:tcPr>
            <w:tcW w:w="3402" w:type="dxa"/>
            <w:tcBorders>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sz w:val="18"/>
                <w:szCs w:val="18"/>
                <w:lang w:eastAsia="cs-CZ"/>
              </w:rPr>
            </w:pPr>
            <w:r>
              <w:rPr>
                <w:rFonts w:ascii="Calibri" w:eastAsia="Times New Roman" w:hAnsi="Calibri" w:cs="Calibri"/>
                <w:sz w:val="18"/>
                <w:szCs w:val="18"/>
                <w:lang w:eastAsia="cs-CZ"/>
              </w:rPr>
              <w:t>PD1_pulzní detektor (alter.)</w:t>
            </w:r>
          </w:p>
        </w:tc>
        <w:tc>
          <w:tcPr>
            <w:tcW w:w="993"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0000FF"/>
                <w:lang w:eastAsia="cs-CZ"/>
              </w:rPr>
              <w:t>ne</w:t>
            </w:r>
          </w:p>
        </w:tc>
        <w:tc>
          <w:tcPr>
            <w:tcW w:w="970"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c>
          <w:tcPr>
            <w:tcW w:w="1014"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c>
          <w:tcPr>
            <w:tcW w:w="1700"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629"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r>
      <w:tr w:rsidR="00287B1D">
        <w:trPr>
          <w:trHeight w:val="285"/>
        </w:trPr>
        <w:tc>
          <w:tcPr>
            <w:tcW w:w="3402" w:type="dxa"/>
            <w:tcBorders>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sz w:val="18"/>
                <w:szCs w:val="18"/>
                <w:lang w:eastAsia="cs-CZ"/>
              </w:rPr>
            </w:pPr>
            <w:r>
              <w:rPr>
                <w:rFonts w:ascii="Calibri" w:eastAsia="Times New Roman" w:hAnsi="Calibri" w:cs="Calibri"/>
                <w:sz w:val="18"/>
                <w:szCs w:val="18"/>
                <w:lang w:eastAsia="cs-CZ"/>
              </w:rPr>
              <w:t>SV1NC_elektroventil</w:t>
            </w:r>
          </w:p>
        </w:tc>
        <w:tc>
          <w:tcPr>
            <w:tcW w:w="993"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0000FF"/>
                <w:lang w:eastAsia="cs-CZ"/>
              </w:rPr>
              <w:t>ne</w:t>
            </w:r>
          </w:p>
        </w:tc>
        <w:tc>
          <w:tcPr>
            <w:tcW w:w="970"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c>
          <w:tcPr>
            <w:tcW w:w="1014"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c>
          <w:tcPr>
            <w:tcW w:w="1700"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629"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r>
      <w:tr w:rsidR="00287B1D">
        <w:trPr>
          <w:trHeight w:val="300"/>
        </w:trPr>
        <w:tc>
          <w:tcPr>
            <w:tcW w:w="3402" w:type="dxa"/>
            <w:tcBorders>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sz w:val="18"/>
                <w:szCs w:val="18"/>
                <w:lang w:eastAsia="cs-CZ"/>
              </w:rPr>
            </w:pPr>
            <w:r>
              <w:rPr>
                <w:rFonts w:ascii="Calibri" w:eastAsia="Times New Roman" w:hAnsi="Calibri" w:cs="Calibri"/>
                <w:sz w:val="18"/>
                <w:szCs w:val="18"/>
                <w:lang w:eastAsia="cs-CZ"/>
              </w:rPr>
              <w:t>SV2NC_elektroventil</w:t>
            </w:r>
          </w:p>
        </w:tc>
        <w:tc>
          <w:tcPr>
            <w:tcW w:w="993"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0000FF"/>
                <w:lang w:eastAsia="cs-CZ"/>
              </w:rPr>
              <w:t>ne</w:t>
            </w:r>
          </w:p>
        </w:tc>
        <w:tc>
          <w:tcPr>
            <w:tcW w:w="970"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014"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700"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629"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r>
      <w:tr w:rsidR="00287B1D">
        <w:trPr>
          <w:trHeight w:val="300"/>
        </w:trPr>
        <w:tc>
          <w:tcPr>
            <w:tcW w:w="3402" w:type="dxa"/>
            <w:tcBorders>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sz w:val="18"/>
                <w:szCs w:val="18"/>
                <w:lang w:eastAsia="cs-CZ"/>
              </w:rPr>
            </w:pPr>
            <w:r>
              <w:rPr>
                <w:rFonts w:ascii="Calibri" w:eastAsia="Times New Roman" w:hAnsi="Calibri" w:cs="Calibri"/>
                <w:sz w:val="18"/>
                <w:szCs w:val="18"/>
                <w:lang w:eastAsia="cs-CZ"/>
              </w:rPr>
              <w:t>SNM_Spirální nano modul</w:t>
            </w:r>
          </w:p>
        </w:tc>
        <w:tc>
          <w:tcPr>
            <w:tcW w:w="993"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0000FF"/>
                <w:lang w:eastAsia="cs-CZ"/>
              </w:rPr>
              <w:t>ne</w:t>
            </w:r>
          </w:p>
        </w:tc>
        <w:tc>
          <w:tcPr>
            <w:tcW w:w="970"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c>
          <w:tcPr>
            <w:tcW w:w="1014"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c>
          <w:tcPr>
            <w:tcW w:w="1700"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629"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r>
      <w:tr w:rsidR="00287B1D">
        <w:trPr>
          <w:trHeight w:val="300"/>
        </w:trPr>
        <w:tc>
          <w:tcPr>
            <w:tcW w:w="3402" w:type="dxa"/>
            <w:tcBorders>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sz w:val="18"/>
                <w:szCs w:val="18"/>
                <w:lang w:eastAsia="cs-CZ"/>
              </w:rPr>
            </w:pPr>
            <w:r>
              <w:rPr>
                <w:rFonts w:ascii="Calibri" w:eastAsia="Times New Roman" w:hAnsi="Calibri" w:cs="Calibri"/>
                <w:sz w:val="18"/>
                <w:szCs w:val="18"/>
                <w:lang w:eastAsia="cs-CZ"/>
              </w:rPr>
              <w:t xml:space="preserve">UF_ modul 0.1 </w:t>
            </w:r>
          </w:p>
        </w:tc>
        <w:tc>
          <w:tcPr>
            <w:tcW w:w="993"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c>
          <w:tcPr>
            <w:tcW w:w="970"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0000FF"/>
                <w:lang w:eastAsia="cs-CZ"/>
              </w:rPr>
              <w:t>ne</w:t>
            </w:r>
          </w:p>
        </w:tc>
        <w:tc>
          <w:tcPr>
            <w:tcW w:w="1014"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0000FF"/>
                <w:lang w:eastAsia="cs-CZ"/>
              </w:rPr>
              <w:t>ne</w:t>
            </w:r>
          </w:p>
        </w:tc>
        <w:tc>
          <w:tcPr>
            <w:tcW w:w="1700"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0000FF"/>
                <w:lang w:eastAsia="cs-CZ"/>
              </w:rPr>
              <w:t>ne</w:t>
            </w:r>
          </w:p>
        </w:tc>
        <w:tc>
          <w:tcPr>
            <w:tcW w:w="1629"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0000FF"/>
                <w:lang w:eastAsia="cs-CZ"/>
              </w:rPr>
              <w:t>ne</w:t>
            </w:r>
          </w:p>
        </w:tc>
      </w:tr>
      <w:tr w:rsidR="00287B1D">
        <w:trPr>
          <w:trHeight w:val="285"/>
        </w:trPr>
        <w:tc>
          <w:tcPr>
            <w:tcW w:w="3402" w:type="dxa"/>
            <w:tcBorders>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strike/>
                <w:sz w:val="18"/>
                <w:szCs w:val="18"/>
                <w:lang w:eastAsia="cs-CZ"/>
              </w:rPr>
            </w:pPr>
            <w:r>
              <w:rPr>
                <w:rFonts w:ascii="Calibri" w:eastAsia="Times New Roman" w:hAnsi="Calibri" w:cs="Calibri"/>
                <w:sz w:val="18"/>
                <w:szCs w:val="18"/>
                <w:lang w:eastAsia="cs-CZ"/>
              </w:rPr>
              <w:t>UF/NF_ nanomodul 0.02</w:t>
            </w:r>
          </w:p>
        </w:tc>
        <w:tc>
          <w:tcPr>
            <w:tcW w:w="993"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strike/>
                <w:color w:val="FF0000"/>
                <w:lang w:eastAsia="cs-CZ"/>
              </w:rPr>
            </w:pPr>
            <w:r>
              <w:rPr>
                <w:rFonts w:ascii="Calibri" w:eastAsia="Times New Roman" w:hAnsi="Calibri" w:cs="Calibri"/>
                <w:b/>
                <w:bCs/>
                <w:color w:val="FF0000"/>
                <w:lang w:eastAsia="cs-CZ"/>
              </w:rPr>
              <w:t>ano</w:t>
            </w:r>
          </w:p>
        </w:tc>
        <w:tc>
          <w:tcPr>
            <w:tcW w:w="970"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0000FF"/>
                <w:lang w:eastAsia="cs-CZ"/>
              </w:rPr>
              <w:t>ne</w:t>
            </w:r>
          </w:p>
        </w:tc>
        <w:tc>
          <w:tcPr>
            <w:tcW w:w="1014"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0000FF"/>
                <w:lang w:eastAsia="cs-CZ"/>
              </w:rPr>
              <w:t>ne</w:t>
            </w:r>
          </w:p>
        </w:tc>
        <w:tc>
          <w:tcPr>
            <w:tcW w:w="1700"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0000FF"/>
                <w:lang w:eastAsia="cs-CZ"/>
              </w:rPr>
              <w:t>ne</w:t>
            </w:r>
          </w:p>
        </w:tc>
        <w:tc>
          <w:tcPr>
            <w:tcW w:w="1629"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0000FF"/>
                <w:lang w:eastAsia="cs-CZ"/>
              </w:rPr>
              <w:t>ne</w:t>
            </w:r>
          </w:p>
        </w:tc>
      </w:tr>
      <w:tr w:rsidR="00287B1D">
        <w:trPr>
          <w:trHeight w:val="285"/>
        </w:trPr>
        <w:tc>
          <w:tcPr>
            <w:tcW w:w="3402" w:type="dxa"/>
            <w:tcBorders>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sz w:val="18"/>
                <w:szCs w:val="18"/>
                <w:lang w:eastAsia="cs-CZ"/>
              </w:rPr>
            </w:pPr>
            <w:r>
              <w:rPr>
                <w:rFonts w:ascii="Calibri" w:eastAsia="Times New Roman" w:hAnsi="Calibri" w:cs="Calibri"/>
                <w:sz w:val="18"/>
                <w:szCs w:val="18"/>
                <w:lang w:eastAsia="cs-CZ"/>
              </w:rPr>
              <w:t>ENACT_Energoaktivátor</w:t>
            </w:r>
          </w:p>
        </w:tc>
        <w:tc>
          <w:tcPr>
            <w:tcW w:w="993"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0000FF"/>
                <w:lang w:eastAsia="cs-CZ"/>
              </w:rPr>
              <w:t>ne</w:t>
            </w:r>
          </w:p>
        </w:tc>
        <w:tc>
          <w:tcPr>
            <w:tcW w:w="970"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0000FF"/>
                <w:lang w:eastAsia="cs-CZ"/>
              </w:rPr>
              <w:t>ne</w:t>
            </w:r>
          </w:p>
        </w:tc>
        <w:tc>
          <w:tcPr>
            <w:tcW w:w="1014"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c>
          <w:tcPr>
            <w:tcW w:w="1700"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0000FF"/>
                <w:lang w:eastAsia="cs-CZ"/>
              </w:rPr>
              <w:t>ne</w:t>
            </w:r>
          </w:p>
        </w:tc>
        <w:tc>
          <w:tcPr>
            <w:tcW w:w="1629"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r>
      <w:tr w:rsidR="00287B1D">
        <w:trPr>
          <w:trHeight w:val="300"/>
        </w:trPr>
        <w:tc>
          <w:tcPr>
            <w:tcW w:w="3402" w:type="dxa"/>
            <w:tcBorders>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sz w:val="18"/>
                <w:szCs w:val="18"/>
                <w:lang w:eastAsia="cs-CZ"/>
              </w:rPr>
            </w:pPr>
            <w:r>
              <w:rPr>
                <w:rFonts w:ascii="Calibri" w:eastAsia="Times New Roman" w:hAnsi="Calibri" w:cs="Calibri"/>
                <w:sz w:val="18"/>
                <w:szCs w:val="18"/>
                <w:lang w:eastAsia="cs-CZ"/>
              </w:rPr>
              <w:t>NV_jehlový ventil</w:t>
            </w:r>
          </w:p>
        </w:tc>
        <w:tc>
          <w:tcPr>
            <w:tcW w:w="993"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0000FF"/>
                <w:lang w:eastAsia="cs-CZ"/>
              </w:rPr>
              <w:t>ne</w:t>
            </w:r>
          </w:p>
        </w:tc>
        <w:tc>
          <w:tcPr>
            <w:tcW w:w="970"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014"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700"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629"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r>
      <w:tr w:rsidR="00287B1D">
        <w:trPr>
          <w:trHeight w:val="300"/>
        </w:trPr>
        <w:tc>
          <w:tcPr>
            <w:tcW w:w="3402" w:type="dxa"/>
            <w:tcBorders>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sz w:val="18"/>
                <w:szCs w:val="18"/>
                <w:lang w:eastAsia="cs-CZ"/>
              </w:rPr>
            </w:pPr>
            <w:r>
              <w:rPr>
                <w:rFonts w:ascii="Calibri" w:eastAsia="Times New Roman" w:hAnsi="Calibri" w:cs="Calibri"/>
                <w:sz w:val="18"/>
                <w:szCs w:val="18"/>
                <w:lang w:eastAsia="cs-CZ"/>
              </w:rPr>
              <w:t>SP1_podtlaková sací pumpa</w:t>
            </w:r>
          </w:p>
        </w:tc>
        <w:tc>
          <w:tcPr>
            <w:tcW w:w="993"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0000FF"/>
                <w:lang w:eastAsia="cs-CZ"/>
              </w:rPr>
              <w:t>ne</w:t>
            </w:r>
          </w:p>
        </w:tc>
        <w:tc>
          <w:tcPr>
            <w:tcW w:w="970"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014"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700"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629"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r>
      <w:tr w:rsidR="00287B1D">
        <w:trPr>
          <w:trHeight w:val="285"/>
        </w:trPr>
        <w:tc>
          <w:tcPr>
            <w:tcW w:w="3402" w:type="dxa"/>
            <w:tcBorders>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sz w:val="18"/>
                <w:szCs w:val="18"/>
                <w:lang w:eastAsia="cs-CZ"/>
              </w:rPr>
            </w:pPr>
            <w:r>
              <w:rPr>
                <w:rFonts w:ascii="Calibri" w:eastAsia="Times New Roman" w:hAnsi="Calibri" w:cs="Calibri"/>
                <w:sz w:val="18"/>
                <w:szCs w:val="18"/>
                <w:lang w:eastAsia="cs-CZ"/>
              </w:rPr>
              <w:t>MM_manometr</w:t>
            </w:r>
          </w:p>
        </w:tc>
        <w:tc>
          <w:tcPr>
            <w:tcW w:w="993"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c>
          <w:tcPr>
            <w:tcW w:w="970"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c>
          <w:tcPr>
            <w:tcW w:w="1014"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700"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629"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r>
      <w:tr w:rsidR="00287B1D">
        <w:trPr>
          <w:trHeight w:val="285"/>
        </w:trPr>
        <w:tc>
          <w:tcPr>
            <w:tcW w:w="3402" w:type="dxa"/>
            <w:tcBorders>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sz w:val="18"/>
                <w:szCs w:val="18"/>
                <w:lang w:eastAsia="cs-CZ"/>
              </w:rPr>
            </w:pPr>
            <w:r>
              <w:rPr>
                <w:rFonts w:ascii="Calibri" w:eastAsia="Times New Roman" w:hAnsi="Calibri" w:cs="Calibri"/>
                <w:sz w:val="18"/>
                <w:szCs w:val="18"/>
                <w:lang w:eastAsia="cs-CZ"/>
              </w:rPr>
              <w:t>PT_Nádrž 12 l</w:t>
            </w:r>
          </w:p>
        </w:tc>
        <w:tc>
          <w:tcPr>
            <w:tcW w:w="993"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0000FF"/>
                <w:lang w:eastAsia="cs-CZ"/>
              </w:rPr>
              <w:t>ne</w:t>
            </w:r>
          </w:p>
        </w:tc>
        <w:tc>
          <w:tcPr>
            <w:tcW w:w="970"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c>
          <w:tcPr>
            <w:tcW w:w="1014"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0000FF"/>
                <w:lang w:eastAsia="cs-CZ"/>
              </w:rPr>
            </w:pPr>
            <w:r>
              <w:rPr>
                <w:rFonts w:ascii="Calibri" w:eastAsia="Times New Roman" w:hAnsi="Calibri" w:cs="Calibri"/>
                <w:b/>
                <w:bCs/>
                <w:color w:val="FF0000"/>
                <w:lang w:eastAsia="cs-CZ"/>
              </w:rPr>
              <w:t>ano</w:t>
            </w:r>
          </w:p>
        </w:tc>
        <w:tc>
          <w:tcPr>
            <w:tcW w:w="1700"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0000FF"/>
                <w:lang w:eastAsia="cs-CZ"/>
              </w:rPr>
              <w:t>ne</w:t>
            </w:r>
          </w:p>
        </w:tc>
        <w:tc>
          <w:tcPr>
            <w:tcW w:w="1629"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0000FF"/>
                <w:lang w:eastAsia="cs-CZ"/>
              </w:rPr>
              <w:t>ne</w:t>
            </w:r>
          </w:p>
        </w:tc>
      </w:tr>
      <w:tr w:rsidR="00287B1D">
        <w:trPr>
          <w:trHeight w:val="300"/>
        </w:trPr>
        <w:tc>
          <w:tcPr>
            <w:tcW w:w="3402" w:type="dxa"/>
            <w:tcBorders>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sz w:val="18"/>
                <w:szCs w:val="18"/>
                <w:lang w:eastAsia="cs-CZ"/>
              </w:rPr>
            </w:pPr>
            <w:r>
              <w:rPr>
                <w:rFonts w:ascii="Calibri" w:eastAsia="Times New Roman" w:hAnsi="Calibri" w:cs="Calibri"/>
                <w:sz w:val="18"/>
                <w:szCs w:val="18"/>
                <w:lang w:eastAsia="cs-CZ"/>
              </w:rPr>
              <w:t>PT_Nádrž 100 l</w:t>
            </w:r>
          </w:p>
        </w:tc>
        <w:tc>
          <w:tcPr>
            <w:tcW w:w="993"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0000FF"/>
                <w:lang w:eastAsia="cs-CZ"/>
              </w:rPr>
              <w:t>ne</w:t>
            </w:r>
          </w:p>
        </w:tc>
        <w:tc>
          <w:tcPr>
            <w:tcW w:w="970"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0000FF"/>
                <w:lang w:eastAsia="cs-CZ"/>
              </w:rPr>
              <w:t>ne</w:t>
            </w:r>
          </w:p>
        </w:tc>
        <w:tc>
          <w:tcPr>
            <w:tcW w:w="1014" w:type="dxa"/>
            <w:tcBorders>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0000FF"/>
                <w:lang w:eastAsia="cs-CZ"/>
              </w:rPr>
              <w:t>ne</w:t>
            </w:r>
          </w:p>
        </w:tc>
        <w:tc>
          <w:tcPr>
            <w:tcW w:w="1700"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c>
          <w:tcPr>
            <w:tcW w:w="1629" w:type="dxa"/>
            <w:tcBorders>
              <w:bottom w:val="single" w:sz="4" w:space="0" w:color="000000"/>
              <w:right w:val="single" w:sz="4" w:space="0" w:color="000000"/>
            </w:tcBorders>
          </w:tcPr>
          <w:p w:rsidR="00287B1D" w:rsidRDefault="00BB6CB9">
            <w:pPr>
              <w:spacing w:after="0" w:line="240" w:lineRule="auto"/>
              <w:jc w:val="center"/>
              <w:rPr>
                <w:rFonts w:ascii="Calibri" w:eastAsia="Times New Roman" w:hAnsi="Calibri" w:cs="Calibri"/>
                <w:b/>
                <w:bCs/>
                <w:color w:val="FF0000"/>
                <w:lang w:eastAsia="cs-CZ"/>
              </w:rPr>
            </w:pPr>
            <w:r>
              <w:rPr>
                <w:rFonts w:ascii="Calibri" w:eastAsia="Times New Roman" w:hAnsi="Calibri" w:cs="Calibri"/>
                <w:b/>
                <w:bCs/>
                <w:color w:val="FF0000"/>
                <w:lang w:eastAsia="cs-CZ"/>
              </w:rPr>
              <w:t>ano</w:t>
            </w:r>
          </w:p>
        </w:tc>
      </w:tr>
      <w:tr w:rsidR="00287B1D">
        <w:trPr>
          <w:trHeight w:val="300"/>
        </w:trPr>
        <w:tc>
          <w:tcPr>
            <w:tcW w:w="6379" w:type="dxa"/>
            <w:gridSpan w:val="4"/>
            <w:shd w:val="clear" w:color="auto" w:fill="auto"/>
            <w:vAlign w:val="center"/>
          </w:tcPr>
          <w:p w:rsidR="00287B1D" w:rsidRDefault="00287B1D">
            <w:pPr>
              <w:spacing w:after="0" w:line="240" w:lineRule="auto"/>
              <w:rPr>
                <w:rFonts w:ascii="Calibri" w:eastAsia="Times New Roman" w:hAnsi="Calibri" w:cs="Calibri"/>
                <w:sz w:val="18"/>
                <w:szCs w:val="18"/>
                <w:lang w:eastAsia="cs-CZ"/>
              </w:rPr>
            </w:pPr>
          </w:p>
        </w:tc>
        <w:tc>
          <w:tcPr>
            <w:tcW w:w="1700" w:type="dxa"/>
          </w:tcPr>
          <w:p w:rsidR="00287B1D" w:rsidRDefault="00287B1D">
            <w:pPr>
              <w:spacing w:after="0" w:line="240" w:lineRule="auto"/>
              <w:rPr>
                <w:rFonts w:ascii="Calibri" w:eastAsia="Times New Roman" w:hAnsi="Calibri" w:cs="Calibri"/>
                <w:sz w:val="18"/>
                <w:szCs w:val="18"/>
                <w:lang w:eastAsia="cs-CZ"/>
              </w:rPr>
            </w:pPr>
          </w:p>
        </w:tc>
        <w:tc>
          <w:tcPr>
            <w:tcW w:w="1629" w:type="dxa"/>
          </w:tcPr>
          <w:p w:rsidR="00287B1D" w:rsidRDefault="00287B1D">
            <w:pPr>
              <w:spacing w:after="0" w:line="240" w:lineRule="auto"/>
              <w:rPr>
                <w:rFonts w:ascii="Calibri" w:eastAsia="Times New Roman" w:hAnsi="Calibri" w:cs="Calibri"/>
                <w:sz w:val="18"/>
                <w:szCs w:val="18"/>
                <w:lang w:eastAsia="cs-CZ"/>
              </w:rPr>
            </w:pPr>
          </w:p>
        </w:tc>
      </w:tr>
    </w:tbl>
    <w:p w:rsidR="00287B1D" w:rsidRDefault="00BB6CB9">
      <w:pPr>
        <w:ind w:left="-284" w:right="850"/>
        <w:jc w:val="center"/>
        <w:rPr>
          <w:rFonts w:eastAsia="Times New Roman" w:cs="Calibri"/>
          <w:bCs/>
          <w:sz w:val="14"/>
          <w:szCs w:val="14"/>
          <w:lang w:eastAsia="cs-CZ"/>
        </w:rPr>
      </w:pPr>
      <w:proofErr w:type="gramStart"/>
      <w:r>
        <w:rPr>
          <w:rFonts w:eastAsia="Times New Roman" w:cs="Calibri"/>
          <w:bCs/>
          <w:sz w:val="14"/>
          <w:szCs w:val="14"/>
          <w:lang w:eastAsia="cs-CZ"/>
        </w:rPr>
        <w:t>Obr.40</w:t>
      </w:r>
      <w:proofErr w:type="gramEnd"/>
      <w:r>
        <w:rPr>
          <w:rFonts w:eastAsia="Times New Roman" w:cs="Calibri"/>
          <w:bCs/>
          <w:sz w:val="14"/>
          <w:szCs w:val="14"/>
          <w:lang w:eastAsia="cs-CZ"/>
        </w:rPr>
        <w:t xml:space="preserve">; </w:t>
      </w:r>
      <w:proofErr w:type="gramStart"/>
      <w:r>
        <w:rPr>
          <w:rFonts w:eastAsia="Times New Roman" w:cs="Calibri"/>
          <w:bCs/>
          <w:sz w:val="14"/>
          <w:szCs w:val="14"/>
          <w:lang w:eastAsia="cs-CZ"/>
        </w:rPr>
        <w:t xml:space="preserve">Tab.4 </w:t>
      </w:r>
      <w:r>
        <w:rPr>
          <w:rFonts w:ascii="Arial" w:eastAsia="Times New Roman" w:hAnsi="Arial" w:cs="Arial"/>
          <w:bCs/>
          <w:sz w:val="14"/>
          <w:szCs w:val="14"/>
          <w:lang w:eastAsia="cs-CZ"/>
        </w:rPr>
        <w:t>↑</w:t>
      </w:r>
      <w:r>
        <w:rPr>
          <w:rFonts w:eastAsia="Times New Roman" w:cs="Times New Roman"/>
          <w:bCs/>
          <w:sz w:val="14"/>
          <w:szCs w:val="14"/>
          <w:lang w:eastAsia="cs-CZ"/>
        </w:rPr>
        <w:t xml:space="preserve"> </w:t>
      </w:r>
      <w:r>
        <w:rPr>
          <w:rFonts w:eastAsia="Times New Roman" w:cs="Calibri"/>
          <w:bCs/>
          <w:sz w:val="14"/>
          <w:szCs w:val="14"/>
          <w:lang w:eastAsia="cs-CZ"/>
        </w:rPr>
        <w:t>Vzor</w:t>
      </w:r>
      <w:proofErr w:type="gramEnd"/>
      <w:r>
        <w:rPr>
          <w:rFonts w:eastAsia="Times New Roman" w:cs="Calibri"/>
          <w:bCs/>
          <w:sz w:val="14"/>
          <w:szCs w:val="14"/>
          <w:lang w:eastAsia="cs-CZ"/>
        </w:rPr>
        <w:t xml:space="preserve"> pro vybavení modelů  AQ3 Mini, více na </w:t>
      </w:r>
      <w:hyperlink r:id="rId363">
        <w:r>
          <w:rPr>
            <w:rStyle w:val="Internetovodkaz"/>
            <w:rFonts w:eastAsia="Times New Roman" w:cs="Calibri"/>
            <w:bCs/>
            <w:sz w:val="14"/>
            <w:szCs w:val="14"/>
            <w:lang w:eastAsia="cs-CZ"/>
          </w:rPr>
          <w:t>www.vti-cz.com</w:t>
        </w:r>
      </w:hyperlink>
      <w:r>
        <w:rPr>
          <w:rFonts w:eastAsia="Times New Roman" w:cs="Calibri"/>
          <w:bCs/>
          <w:sz w:val="14"/>
          <w:szCs w:val="14"/>
          <w:lang w:eastAsia="cs-CZ"/>
        </w:rPr>
        <w:t>, v sekci ke stažení</w:t>
      </w:r>
    </w:p>
    <w:tbl>
      <w:tblPr>
        <w:tblW w:w="11010" w:type="dxa"/>
        <w:tblInd w:w="-601" w:type="dxa"/>
        <w:tblLook w:val="04A0" w:firstRow="1" w:lastRow="0" w:firstColumn="1" w:lastColumn="0" w:noHBand="0" w:noVBand="1"/>
      </w:tblPr>
      <w:tblGrid>
        <w:gridCol w:w="833"/>
        <w:gridCol w:w="2297"/>
        <w:gridCol w:w="1821"/>
        <w:gridCol w:w="547"/>
        <w:gridCol w:w="385"/>
        <w:gridCol w:w="837"/>
        <w:gridCol w:w="896"/>
        <w:gridCol w:w="1005"/>
        <w:gridCol w:w="622"/>
        <w:gridCol w:w="703"/>
        <w:gridCol w:w="146"/>
        <w:gridCol w:w="504"/>
        <w:gridCol w:w="192"/>
        <w:gridCol w:w="222"/>
      </w:tblGrid>
      <w:tr w:rsidR="00287B1D" w:rsidTr="00766381">
        <w:trPr>
          <w:trHeight w:val="510"/>
        </w:trPr>
        <w:tc>
          <w:tcPr>
            <w:tcW w:w="833" w:type="dxa"/>
            <w:tcBorders>
              <w:top w:val="single" w:sz="4" w:space="0" w:color="000000"/>
              <w:left w:val="single" w:sz="4" w:space="0" w:color="000000"/>
              <w:bottom w:val="single" w:sz="4" w:space="0" w:color="000000"/>
              <w:right w:val="single" w:sz="4" w:space="0" w:color="000000"/>
            </w:tcBorders>
            <w:shd w:val="clear" w:color="000000" w:fill="B8CCE4"/>
            <w:vAlign w:val="center"/>
          </w:tcPr>
          <w:p w:rsidR="00287B1D" w:rsidRDefault="00BB6CB9">
            <w:pPr>
              <w:spacing w:after="0" w:line="240" w:lineRule="auto"/>
              <w:jc w:val="center"/>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Objednací kód</w:t>
            </w:r>
          </w:p>
        </w:tc>
        <w:tc>
          <w:tcPr>
            <w:tcW w:w="2297" w:type="dxa"/>
            <w:tcBorders>
              <w:top w:val="single" w:sz="4" w:space="0" w:color="000000"/>
              <w:right w:val="single" w:sz="4" w:space="0" w:color="000000"/>
            </w:tcBorders>
            <w:shd w:val="clear" w:color="000000" w:fill="B8CCE4"/>
            <w:vAlign w:val="center"/>
          </w:tcPr>
          <w:p w:rsidR="00287B1D" w:rsidRDefault="00BB6CB9">
            <w:pPr>
              <w:spacing w:after="0" w:line="240" w:lineRule="auto"/>
              <w:jc w:val="center"/>
              <w:rPr>
                <w:rFonts w:ascii="Calibri" w:eastAsia="Times New Roman" w:hAnsi="Calibri" w:cs="Calibri"/>
                <w:b/>
                <w:bCs/>
                <w:color w:val="000000"/>
                <w:sz w:val="12"/>
                <w:szCs w:val="12"/>
                <w:lang w:val="en-GB" w:eastAsia="en-GB"/>
              </w:rPr>
            </w:pPr>
            <w:r>
              <w:rPr>
                <w:rFonts w:ascii="Calibri" w:eastAsia="Times New Roman" w:hAnsi="Calibri" w:cs="Calibri"/>
                <w:b/>
                <w:bCs/>
                <w:color w:val="000000"/>
                <w:sz w:val="12"/>
                <w:szCs w:val="12"/>
                <w:lang w:val="en-GB" w:eastAsia="en-GB"/>
              </w:rPr>
              <w:t>Název zařízení, dílu, balíčku</w:t>
            </w:r>
          </w:p>
        </w:tc>
        <w:tc>
          <w:tcPr>
            <w:tcW w:w="1821" w:type="dxa"/>
            <w:tcBorders>
              <w:top w:val="single" w:sz="4" w:space="0" w:color="000000"/>
              <w:right w:val="single" w:sz="4" w:space="0" w:color="000000"/>
            </w:tcBorders>
            <w:shd w:val="clear" w:color="000000" w:fill="B8CCE4"/>
            <w:vAlign w:val="center"/>
          </w:tcPr>
          <w:p w:rsidR="00287B1D" w:rsidRDefault="00BB6CB9">
            <w:pPr>
              <w:spacing w:after="0" w:line="240" w:lineRule="auto"/>
              <w:jc w:val="center"/>
              <w:rPr>
                <w:rFonts w:ascii="Calibri" w:eastAsia="Times New Roman" w:hAnsi="Calibri" w:cs="Calibri"/>
                <w:b/>
                <w:bCs/>
                <w:color w:val="000000"/>
                <w:sz w:val="12"/>
                <w:szCs w:val="12"/>
                <w:lang w:val="en-GB" w:eastAsia="en-GB"/>
              </w:rPr>
            </w:pPr>
            <w:r>
              <w:rPr>
                <w:rFonts w:ascii="Calibri" w:eastAsia="Times New Roman" w:hAnsi="Calibri" w:cs="Calibri"/>
                <w:b/>
                <w:bCs/>
                <w:color w:val="000000"/>
                <w:sz w:val="12"/>
                <w:szCs w:val="12"/>
                <w:lang w:val="en-GB" w:eastAsia="en-GB"/>
              </w:rPr>
              <w:t>Použití, rozměr, zkratka</w:t>
            </w:r>
          </w:p>
        </w:tc>
        <w:tc>
          <w:tcPr>
            <w:tcW w:w="932" w:type="dxa"/>
            <w:gridSpan w:val="2"/>
            <w:tcBorders>
              <w:top w:val="single" w:sz="4" w:space="0" w:color="000000"/>
              <w:bottom w:val="single" w:sz="4" w:space="0" w:color="000000"/>
              <w:right w:val="single" w:sz="4" w:space="0" w:color="000000"/>
            </w:tcBorders>
            <w:shd w:val="clear" w:color="000000" w:fill="B8CCE4"/>
            <w:vAlign w:val="center"/>
          </w:tcPr>
          <w:p w:rsidR="00287B1D" w:rsidRDefault="00BB6CB9">
            <w:pPr>
              <w:spacing w:after="0" w:line="240" w:lineRule="auto"/>
              <w:jc w:val="center"/>
              <w:rPr>
                <w:rFonts w:ascii="Calibri" w:eastAsia="Times New Roman" w:hAnsi="Calibri" w:cs="Calibri"/>
                <w:b/>
                <w:bCs/>
                <w:color w:val="000000"/>
                <w:sz w:val="12"/>
                <w:szCs w:val="12"/>
                <w:lang w:val="en-GB" w:eastAsia="en-GB"/>
              </w:rPr>
            </w:pPr>
            <w:r>
              <w:rPr>
                <w:rFonts w:ascii="Calibri" w:eastAsia="Times New Roman" w:hAnsi="Calibri" w:cs="Calibri"/>
                <w:b/>
                <w:bCs/>
                <w:color w:val="000000"/>
                <w:sz w:val="12"/>
                <w:szCs w:val="12"/>
                <w:lang w:val="en-GB" w:eastAsia="en-GB"/>
              </w:rPr>
              <w:t>Komunikace, ovládání RDM</w:t>
            </w:r>
          </w:p>
        </w:tc>
        <w:tc>
          <w:tcPr>
            <w:tcW w:w="837" w:type="dxa"/>
            <w:tcBorders>
              <w:top w:val="single" w:sz="4" w:space="0" w:color="000000"/>
              <w:bottom w:val="single" w:sz="4" w:space="0" w:color="000000"/>
              <w:right w:val="single" w:sz="4" w:space="0" w:color="000000"/>
            </w:tcBorders>
            <w:shd w:val="clear" w:color="000000" w:fill="B8CCE4"/>
            <w:vAlign w:val="center"/>
          </w:tcPr>
          <w:p w:rsidR="00287B1D" w:rsidRDefault="00BB6CB9">
            <w:pPr>
              <w:spacing w:after="0" w:line="240" w:lineRule="auto"/>
              <w:jc w:val="center"/>
              <w:rPr>
                <w:rFonts w:ascii="Calibri" w:eastAsia="Times New Roman" w:hAnsi="Calibri" w:cs="Calibri"/>
                <w:b/>
                <w:bCs/>
                <w:color w:val="000000"/>
                <w:sz w:val="12"/>
                <w:szCs w:val="12"/>
                <w:lang w:val="en-GB" w:eastAsia="en-GB"/>
              </w:rPr>
            </w:pPr>
            <w:r>
              <w:rPr>
                <w:rFonts w:ascii="Calibri" w:eastAsia="Times New Roman" w:hAnsi="Calibri" w:cs="Calibri"/>
                <w:b/>
                <w:bCs/>
                <w:color w:val="000000"/>
                <w:sz w:val="12"/>
                <w:szCs w:val="12"/>
                <w:lang w:val="en-GB" w:eastAsia="en-GB"/>
              </w:rPr>
              <w:t>Verze</w:t>
            </w:r>
          </w:p>
        </w:tc>
        <w:tc>
          <w:tcPr>
            <w:tcW w:w="896" w:type="dxa"/>
            <w:tcBorders>
              <w:top w:val="single" w:sz="4" w:space="0" w:color="000000"/>
              <w:bottom w:val="single" w:sz="4" w:space="0" w:color="000000"/>
              <w:right w:val="single" w:sz="4" w:space="0" w:color="000000"/>
            </w:tcBorders>
            <w:shd w:val="clear" w:color="000000" w:fill="B8CCE4"/>
            <w:vAlign w:val="center"/>
          </w:tcPr>
          <w:p w:rsidR="00287B1D" w:rsidRDefault="00BB6CB9">
            <w:pPr>
              <w:spacing w:after="0" w:line="240" w:lineRule="auto"/>
              <w:jc w:val="center"/>
              <w:rPr>
                <w:rFonts w:ascii="Calibri" w:eastAsia="Times New Roman" w:hAnsi="Calibri" w:cs="Calibri"/>
                <w:b/>
                <w:bCs/>
                <w:color w:val="000000"/>
                <w:sz w:val="12"/>
                <w:szCs w:val="12"/>
                <w:lang w:val="en-GB" w:eastAsia="en-GB"/>
              </w:rPr>
            </w:pPr>
            <w:r>
              <w:rPr>
                <w:rFonts w:ascii="Calibri" w:eastAsia="Times New Roman" w:hAnsi="Calibri" w:cs="Calibri"/>
                <w:b/>
                <w:bCs/>
                <w:color w:val="000000"/>
                <w:sz w:val="12"/>
                <w:szCs w:val="12"/>
                <w:lang w:val="en-GB" w:eastAsia="en-GB"/>
              </w:rPr>
              <w:t>Typ, složení, objem, materiál</w:t>
            </w:r>
          </w:p>
        </w:tc>
        <w:tc>
          <w:tcPr>
            <w:tcW w:w="1005" w:type="dxa"/>
            <w:tcBorders>
              <w:top w:val="single" w:sz="4" w:space="0" w:color="000000"/>
              <w:bottom w:val="single" w:sz="4" w:space="0" w:color="000000"/>
              <w:right w:val="single" w:sz="4" w:space="0" w:color="000000"/>
            </w:tcBorders>
            <w:shd w:val="clear" w:color="000000" w:fill="B8CCE4"/>
            <w:vAlign w:val="center"/>
          </w:tcPr>
          <w:p w:rsidR="00287B1D" w:rsidRDefault="00BB6CB9">
            <w:pPr>
              <w:spacing w:after="0" w:line="240" w:lineRule="auto"/>
              <w:jc w:val="center"/>
              <w:rPr>
                <w:rFonts w:ascii="Calibri" w:eastAsia="Times New Roman" w:hAnsi="Calibri" w:cs="Calibri"/>
                <w:b/>
                <w:bCs/>
                <w:color w:val="000000"/>
                <w:sz w:val="12"/>
                <w:szCs w:val="12"/>
                <w:lang w:val="en-GB" w:eastAsia="en-GB"/>
              </w:rPr>
            </w:pPr>
            <w:r>
              <w:rPr>
                <w:rFonts w:ascii="Calibri" w:eastAsia="Times New Roman" w:hAnsi="Calibri" w:cs="Calibri"/>
                <w:b/>
                <w:bCs/>
                <w:color w:val="000000"/>
                <w:sz w:val="12"/>
                <w:szCs w:val="12"/>
                <w:lang w:val="en-GB" w:eastAsia="en-GB"/>
              </w:rPr>
              <w:t>Zdroj napětí 24 VDC</w:t>
            </w:r>
          </w:p>
        </w:tc>
        <w:tc>
          <w:tcPr>
            <w:tcW w:w="622" w:type="dxa"/>
            <w:tcBorders>
              <w:top w:val="single" w:sz="4" w:space="0" w:color="000000"/>
              <w:bottom w:val="single" w:sz="4" w:space="0" w:color="000000"/>
            </w:tcBorders>
            <w:shd w:val="clear" w:color="000000" w:fill="B8CCE4"/>
            <w:vAlign w:val="center"/>
          </w:tcPr>
          <w:p w:rsidR="00287B1D" w:rsidRDefault="00BB6CB9">
            <w:pPr>
              <w:spacing w:after="0" w:line="240" w:lineRule="auto"/>
              <w:jc w:val="center"/>
              <w:rPr>
                <w:rFonts w:ascii="Calibri" w:eastAsia="Times New Roman" w:hAnsi="Calibri" w:cs="Calibri"/>
                <w:b/>
                <w:bCs/>
                <w:color w:val="000000"/>
                <w:sz w:val="12"/>
                <w:szCs w:val="12"/>
                <w:lang w:val="en-GB" w:eastAsia="en-GB"/>
              </w:rPr>
            </w:pPr>
            <w:r>
              <w:rPr>
                <w:rFonts w:ascii="Calibri" w:eastAsia="Times New Roman" w:hAnsi="Calibri" w:cs="Calibri"/>
                <w:b/>
                <w:bCs/>
                <w:color w:val="000000"/>
                <w:sz w:val="12"/>
                <w:szCs w:val="12"/>
                <w:lang w:val="en-GB" w:eastAsia="en-GB"/>
              </w:rPr>
              <w:t>Zásobní nádrž k filtraci</w:t>
            </w:r>
          </w:p>
        </w:tc>
        <w:tc>
          <w:tcPr>
            <w:tcW w:w="703" w:type="dxa"/>
            <w:tcBorders>
              <w:top w:val="single" w:sz="4" w:space="0" w:color="000000"/>
              <w:left w:val="single" w:sz="4" w:space="0" w:color="000000"/>
              <w:bottom w:val="single" w:sz="4" w:space="0" w:color="000000"/>
              <w:right w:val="single" w:sz="4" w:space="0" w:color="000000"/>
            </w:tcBorders>
            <w:shd w:val="clear" w:color="000000" w:fill="B8CCE4"/>
            <w:vAlign w:val="center"/>
          </w:tcPr>
          <w:p w:rsidR="00287B1D" w:rsidRDefault="00BB6CB9">
            <w:pPr>
              <w:spacing w:after="0" w:line="240" w:lineRule="auto"/>
              <w:jc w:val="center"/>
              <w:rPr>
                <w:rFonts w:ascii="Calibri" w:eastAsia="Times New Roman" w:hAnsi="Calibri" w:cs="Calibri"/>
                <w:b/>
                <w:bCs/>
                <w:color w:val="000000"/>
                <w:sz w:val="12"/>
                <w:szCs w:val="12"/>
                <w:lang w:val="en-GB" w:eastAsia="en-GB"/>
              </w:rPr>
            </w:pPr>
            <w:r>
              <w:rPr>
                <w:rFonts w:ascii="Calibri" w:eastAsia="Times New Roman" w:hAnsi="Calibri" w:cs="Calibri"/>
                <w:b/>
                <w:bCs/>
                <w:color w:val="000000"/>
                <w:sz w:val="12"/>
                <w:szCs w:val="12"/>
                <w:lang w:val="en-GB" w:eastAsia="en-GB"/>
              </w:rPr>
              <w:t>Volitelné zásobní nádrže</w:t>
            </w:r>
          </w:p>
        </w:tc>
        <w:tc>
          <w:tcPr>
            <w:tcW w:w="842" w:type="dxa"/>
            <w:gridSpan w:val="3"/>
            <w:tcBorders>
              <w:top w:val="single" w:sz="4" w:space="0" w:color="000000"/>
              <w:bottom w:val="single" w:sz="4" w:space="0" w:color="000000"/>
              <w:right w:val="single" w:sz="4" w:space="0" w:color="000000"/>
            </w:tcBorders>
            <w:shd w:val="clear" w:color="000000" w:fill="B8CCE4"/>
            <w:vAlign w:val="center"/>
          </w:tcPr>
          <w:p w:rsidR="00287B1D" w:rsidRDefault="00BB6CB9">
            <w:pPr>
              <w:spacing w:after="0" w:line="240" w:lineRule="auto"/>
              <w:jc w:val="center"/>
              <w:rPr>
                <w:rFonts w:ascii="Calibri" w:eastAsia="Times New Roman" w:hAnsi="Calibri" w:cs="Calibri"/>
                <w:b/>
                <w:bCs/>
                <w:color w:val="000000"/>
                <w:sz w:val="12"/>
                <w:szCs w:val="12"/>
                <w:lang w:val="en-GB" w:eastAsia="en-GB"/>
              </w:rPr>
            </w:pPr>
            <w:r>
              <w:rPr>
                <w:rFonts w:ascii="Calibri" w:eastAsia="Times New Roman" w:hAnsi="Calibri" w:cs="Calibri"/>
                <w:b/>
                <w:bCs/>
                <w:color w:val="000000"/>
                <w:sz w:val="12"/>
                <w:szCs w:val="12"/>
                <w:lang w:val="en-GB" w:eastAsia="en-GB"/>
              </w:rPr>
              <w:t>Volitelné rozbočovače</w:t>
            </w:r>
          </w:p>
        </w:tc>
        <w:tc>
          <w:tcPr>
            <w:tcW w:w="222" w:type="dxa"/>
          </w:tcPr>
          <w:p w:rsidR="00287B1D" w:rsidRDefault="00287B1D"/>
        </w:tc>
      </w:tr>
      <w:tr w:rsidR="00287B1D" w:rsidTr="00766381">
        <w:trPr>
          <w:trHeight w:val="315"/>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trike/>
                <w:sz w:val="12"/>
                <w:szCs w:val="12"/>
                <w:lang w:val="en-GB" w:eastAsia="en-GB"/>
              </w:rPr>
            </w:pPr>
            <w:r>
              <w:rPr>
                <w:rFonts w:ascii="Calibri" w:eastAsia="Times New Roman" w:hAnsi="Calibri" w:cs="Calibri"/>
                <w:b/>
                <w:bCs/>
                <w:strike/>
                <w:sz w:val="12"/>
                <w:szCs w:val="12"/>
                <w:lang w:val="en-GB" w:eastAsia="en-GB"/>
              </w:rPr>
              <w:lastRenderedPageBreak/>
              <w:t>110-000</w:t>
            </w:r>
          </w:p>
        </w:tc>
        <w:tc>
          <w:tcPr>
            <w:tcW w:w="2297" w:type="dxa"/>
            <w:tcBorders>
              <w:top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FF0000"/>
                <w:sz w:val="12"/>
                <w:szCs w:val="12"/>
                <w:lang w:val="en-GB" w:eastAsia="en-GB"/>
              </w:rPr>
            </w:pPr>
            <w:r>
              <w:rPr>
                <w:rFonts w:ascii="Calibri" w:eastAsia="Times New Roman" w:hAnsi="Calibri" w:cs="Calibri"/>
                <w:b/>
                <w:bCs/>
                <w:color w:val="FF0000"/>
                <w:sz w:val="12"/>
                <w:szCs w:val="12"/>
                <w:lang w:val="en-GB" w:eastAsia="en-GB"/>
              </w:rPr>
              <w:t xml:space="preserve">AQ3 Mini  Basic </w:t>
            </w:r>
          </w:p>
        </w:tc>
        <w:tc>
          <w:tcPr>
            <w:tcW w:w="1821" w:type="dxa"/>
            <w:tcBorders>
              <w:top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FF0000"/>
                <w:sz w:val="12"/>
                <w:szCs w:val="12"/>
                <w:lang w:val="en-GB" w:eastAsia="en-GB"/>
              </w:rPr>
            </w:pPr>
            <w:r>
              <w:rPr>
                <w:rFonts w:ascii="Calibri" w:eastAsia="Times New Roman" w:hAnsi="Calibri" w:cs="Calibri"/>
                <w:b/>
                <w:bCs/>
                <w:color w:val="FF0000"/>
                <w:sz w:val="12"/>
                <w:szCs w:val="12"/>
                <w:lang w:val="en-GB" w:eastAsia="en-GB"/>
              </w:rPr>
              <w:t>úprava vody z VVŘ</w:t>
            </w:r>
          </w:p>
        </w:tc>
        <w:tc>
          <w:tcPr>
            <w:tcW w:w="932" w:type="dxa"/>
            <w:gridSpan w:val="2"/>
            <w:tcBorders>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FF0000"/>
                <w:sz w:val="12"/>
                <w:szCs w:val="12"/>
                <w:lang w:val="en-GB" w:eastAsia="en-GB"/>
              </w:rPr>
            </w:pPr>
            <w:r>
              <w:rPr>
                <w:rFonts w:ascii="Calibri" w:eastAsia="Times New Roman" w:hAnsi="Calibri" w:cs="Calibri"/>
                <w:b/>
                <w:bCs/>
                <w:color w:val="FF0000"/>
                <w:sz w:val="12"/>
                <w:szCs w:val="12"/>
                <w:lang w:val="en-GB" w:eastAsia="en-GB"/>
              </w:rPr>
              <w:t>RDM_2B</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color w:val="FF0000"/>
                <w:sz w:val="11"/>
                <w:szCs w:val="11"/>
                <w:lang w:val="en-GB" w:eastAsia="en-GB"/>
              </w:rPr>
            </w:pPr>
            <w:r>
              <w:rPr>
                <w:rFonts w:ascii="Calibri" w:eastAsia="Times New Roman" w:hAnsi="Calibri" w:cs="Calibri"/>
                <w:b/>
                <w:bCs/>
                <w:color w:val="FF0000"/>
                <w:sz w:val="11"/>
                <w:szCs w:val="11"/>
                <w:lang w:val="en-GB" w:eastAsia="en-GB"/>
              </w:rPr>
              <w:t>Basic</w:t>
            </w:r>
          </w:p>
        </w:tc>
        <w:tc>
          <w:tcPr>
            <w:tcW w:w="896" w:type="dxa"/>
            <w:tcBorders>
              <w:top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FF0000"/>
                <w:sz w:val="12"/>
                <w:szCs w:val="12"/>
                <w:lang w:val="en-GB" w:eastAsia="en-GB"/>
              </w:rPr>
            </w:pPr>
            <w:r>
              <w:rPr>
                <w:rFonts w:ascii="Calibri" w:eastAsia="Times New Roman" w:hAnsi="Calibri" w:cs="Calibri"/>
                <w:b/>
                <w:bCs/>
                <w:color w:val="FF0000"/>
                <w:sz w:val="12"/>
                <w:szCs w:val="12"/>
                <w:lang w:val="en-GB" w:eastAsia="en-GB"/>
              </w:rPr>
              <w:t>sedimentační</w:t>
            </w:r>
          </w:p>
        </w:tc>
        <w:tc>
          <w:tcPr>
            <w:tcW w:w="1005"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FF0000"/>
                <w:sz w:val="9"/>
                <w:szCs w:val="9"/>
                <w:lang w:val="en-GB" w:eastAsia="en-GB"/>
              </w:rPr>
            </w:pPr>
            <w:r>
              <w:rPr>
                <w:rFonts w:ascii="Calibri" w:eastAsia="Times New Roman" w:hAnsi="Calibri" w:cs="Calibri"/>
                <w:b/>
                <w:bCs/>
                <w:color w:val="FF0000"/>
                <w:sz w:val="9"/>
                <w:szCs w:val="9"/>
                <w:lang w:val="en-GB" w:eastAsia="en-GB"/>
              </w:rPr>
              <w:t>Power</w:t>
            </w:r>
          </w:p>
        </w:tc>
        <w:tc>
          <w:tcPr>
            <w:tcW w:w="62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jc w:val="center"/>
              <w:rPr>
                <w:rFonts w:ascii="Calibri" w:eastAsia="Times New Roman" w:hAnsi="Calibri" w:cs="Calibri"/>
                <w:b/>
                <w:bCs/>
                <w:color w:val="FF0000"/>
                <w:sz w:val="12"/>
                <w:szCs w:val="12"/>
                <w:lang w:val="en-GB" w:eastAsia="en-GB"/>
              </w:rPr>
            </w:pPr>
            <w:r>
              <w:rPr>
                <w:rFonts w:ascii="Calibri" w:eastAsia="Times New Roman" w:hAnsi="Calibri" w:cs="Calibri"/>
                <w:b/>
                <w:bCs/>
                <w:color w:val="FF0000"/>
                <w:sz w:val="12"/>
                <w:szCs w:val="12"/>
                <w:lang w:val="en-GB" w:eastAsia="en-GB"/>
              </w:rPr>
              <w:t>ne</w:t>
            </w:r>
          </w:p>
        </w:tc>
        <w:tc>
          <w:tcPr>
            <w:tcW w:w="703" w:type="dxa"/>
            <w:tcBorders>
              <w:bottom w:val="single" w:sz="4" w:space="0" w:color="000000"/>
              <w:right w:val="single" w:sz="4" w:space="0" w:color="000000"/>
            </w:tcBorders>
            <w:shd w:val="clear" w:color="000000" w:fill="FFFFFF"/>
            <w:vAlign w:val="center"/>
          </w:tcPr>
          <w:p w:rsidR="00287B1D" w:rsidRDefault="00BB6CB9">
            <w:pPr>
              <w:spacing w:after="0" w:line="240" w:lineRule="auto"/>
              <w:jc w:val="center"/>
              <w:rPr>
                <w:rFonts w:ascii="Calibri" w:eastAsia="Times New Roman" w:hAnsi="Calibri" w:cs="Calibri"/>
                <w:b/>
                <w:bCs/>
                <w:color w:val="FF0000"/>
                <w:sz w:val="12"/>
                <w:szCs w:val="12"/>
                <w:lang w:val="en-GB" w:eastAsia="en-GB"/>
              </w:rPr>
            </w:pPr>
            <w:r>
              <w:rPr>
                <w:rFonts w:ascii="Calibri" w:eastAsia="Times New Roman" w:hAnsi="Calibri" w:cs="Calibri"/>
                <w:b/>
                <w:bCs/>
                <w:color w:val="FF0000"/>
                <w:sz w:val="12"/>
                <w:szCs w:val="12"/>
                <w:lang w:val="en-GB" w:eastAsia="en-GB"/>
              </w:rPr>
              <w:t>ne</w:t>
            </w:r>
          </w:p>
        </w:tc>
        <w:tc>
          <w:tcPr>
            <w:tcW w:w="842" w:type="dxa"/>
            <w:gridSpan w:val="3"/>
            <w:tcBorders>
              <w:bottom w:val="single" w:sz="4" w:space="0" w:color="000000"/>
              <w:right w:val="single" w:sz="4" w:space="0" w:color="000000"/>
            </w:tcBorders>
            <w:shd w:val="clear" w:color="000000" w:fill="FFFFFF"/>
            <w:vAlign w:val="center"/>
          </w:tcPr>
          <w:p w:rsidR="00287B1D" w:rsidRDefault="00BB6CB9">
            <w:pPr>
              <w:spacing w:after="0" w:line="240" w:lineRule="auto"/>
              <w:jc w:val="center"/>
              <w:rPr>
                <w:rFonts w:ascii="Calibri" w:eastAsia="Times New Roman" w:hAnsi="Calibri" w:cs="Calibri"/>
                <w:b/>
                <w:bCs/>
                <w:color w:val="FF0000"/>
                <w:sz w:val="12"/>
                <w:szCs w:val="12"/>
                <w:lang w:val="en-GB" w:eastAsia="en-GB"/>
              </w:rPr>
            </w:pPr>
            <w:r>
              <w:rPr>
                <w:rFonts w:ascii="Calibri" w:eastAsia="Times New Roman" w:hAnsi="Calibri" w:cs="Calibri"/>
                <w:b/>
                <w:bCs/>
                <w:color w:val="FF0000"/>
                <w:sz w:val="12"/>
                <w:szCs w:val="12"/>
                <w:lang w:val="en-GB" w:eastAsia="en-GB"/>
              </w:rPr>
              <w:t>ne</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trike/>
                <w:sz w:val="12"/>
                <w:szCs w:val="12"/>
                <w:lang w:val="en-GB" w:eastAsia="en-GB"/>
              </w:rPr>
            </w:pPr>
            <w:r>
              <w:rPr>
                <w:rFonts w:ascii="Calibri" w:eastAsia="Times New Roman" w:hAnsi="Calibri" w:cs="Calibri"/>
                <w:b/>
                <w:bCs/>
                <w:strike/>
                <w:sz w:val="12"/>
                <w:szCs w:val="12"/>
                <w:lang w:val="en-GB" w:eastAsia="en-GB"/>
              </w:rPr>
              <w:t>120-000</w:t>
            </w:r>
          </w:p>
        </w:tc>
        <w:tc>
          <w:tcPr>
            <w:tcW w:w="2297" w:type="dxa"/>
            <w:tcBorders>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1F497D"/>
                <w:sz w:val="12"/>
                <w:szCs w:val="12"/>
                <w:lang w:val="en-GB" w:eastAsia="en-GB"/>
              </w:rPr>
            </w:pPr>
            <w:r>
              <w:rPr>
                <w:rFonts w:ascii="Calibri" w:eastAsia="Times New Roman" w:hAnsi="Calibri" w:cs="Calibri"/>
                <w:b/>
                <w:bCs/>
                <w:color w:val="1F497D"/>
                <w:sz w:val="12"/>
                <w:szCs w:val="12"/>
                <w:lang w:val="en-GB" w:eastAsia="en-GB"/>
              </w:rPr>
              <w:t>AQ3 Mini Standard</w:t>
            </w:r>
          </w:p>
        </w:tc>
        <w:tc>
          <w:tcPr>
            <w:tcW w:w="1821" w:type="dxa"/>
            <w:tcBorders>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1F497D"/>
                <w:sz w:val="12"/>
                <w:szCs w:val="12"/>
                <w:lang w:val="en-GB" w:eastAsia="en-GB"/>
              </w:rPr>
            </w:pPr>
            <w:r>
              <w:rPr>
                <w:rFonts w:ascii="Calibri" w:eastAsia="Times New Roman" w:hAnsi="Calibri" w:cs="Calibri"/>
                <w:b/>
                <w:bCs/>
                <w:color w:val="1F497D"/>
                <w:sz w:val="12"/>
                <w:szCs w:val="12"/>
                <w:lang w:val="en-GB" w:eastAsia="en-GB"/>
              </w:rPr>
              <w:t>úprava vody z VVŘ</w:t>
            </w:r>
          </w:p>
        </w:tc>
        <w:tc>
          <w:tcPr>
            <w:tcW w:w="932" w:type="dxa"/>
            <w:gridSpan w:val="2"/>
            <w:tcBorders>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1F497D"/>
                <w:sz w:val="12"/>
                <w:szCs w:val="12"/>
                <w:lang w:val="en-GB" w:eastAsia="en-GB"/>
              </w:rPr>
            </w:pPr>
            <w:r>
              <w:rPr>
                <w:rFonts w:ascii="Calibri" w:eastAsia="Times New Roman" w:hAnsi="Calibri" w:cs="Calibri"/>
                <w:b/>
                <w:bCs/>
                <w:color w:val="1F497D"/>
                <w:sz w:val="12"/>
                <w:szCs w:val="12"/>
                <w:lang w:val="en-GB" w:eastAsia="en-GB"/>
              </w:rPr>
              <w:t>RDM_2B</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color w:val="1F497D"/>
                <w:sz w:val="11"/>
                <w:szCs w:val="11"/>
                <w:lang w:val="en-GB" w:eastAsia="en-GB"/>
              </w:rPr>
            </w:pPr>
            <w:r>
              <w:rPr>
                <w:rFonts w:ascii="Calibri" w:eastAsia="Times New Roman" w:hAnsi="Calibri" w:cs="Calibri"/>
                <w:b/>
                <w:bCs/>
                <w:color w:val="1F497D"/>
                <w:sz w:val="11"/>
                <w:szCs w:val="11"/>
                <w:lang w:val="en-GB" w:eastAsia="en-GB"/>
              </w:rPr>
              <w:t>Standard</w:t>
            </w:r>
          </w:p>
        </w:tc>
        <w:tc>
          <w:tcPr>
            <w:tcW w:w="896" w:type="dxa"/>
            <w:tcBorders>
              <w:top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1F497D"/>
                <w:sz w:val="12"/>
                <w:szCs w:val="12"/>
                <w:lang w:val="en-GB" w:eastAsia="en-GB"/>
              </w:rPr>
            </w:pPr>
            <w:r>
              <w:rPr>
                <w:rFonts w:ascii="Calibri" w:eastAsia="Times New Roman" w:hAnsi="Calibri" w:cs="Calibri"/>
                <w:b/>
                <w:bCs/>
                <w:color w:val="1F497D"/>
                <w:sz w:val="12"/>
                <w:szCs w:val="12"/>
                <w:lang w:val="en-GB" w:eastAsia="en-GB"/>
              </w:rPr>
              <w:t>separační</w:t>
            </w:r>
          </w:p>
        </w:tc>
        <w:tc>
          <w:tcPr>
            <w:tcW w:w="1005"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1F497D"/>
                <w:sz w:val="9"/>
                <w:szCs w:val="9"/>
                <w:lang w:val="en-GB" w:eastAsia="en-GB"/>
              </w:rPr>
            </w:pPr>
            <w:r>
              <w:rPr>
                <w:rFonts w:ascii="Calibri" w:eastAsia="Times New Roman" w:hAnsi="Calibri" w:cs="Calibri"/>
                <w:b/>
                <w:bCs/>
                <w:color w:val="1F497D"/>
                <w:sz w:val="9"/>
                <w:szCs w:val="9"/>
                <w:lang w:val="en-GB" w:eastAsia="en-GB"/>
              </w:rPr>
              <w:t>Power, Solar*, Dual*</w:t>
            </w:r>
          </w:p>
        </w:tc>
        <w:tc>
          <w:tcPr>
            <w:tcW w:w="62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jc w:val="center"/>
              <w:rPr>
                <w:rFonts w:ascii="Calibri" w:eastAsia="Times New Roman" w:hAnsi="Calibri" w:cs="Calibri"/>
                <w:b/>
                <w:bCs/>
                <w:color w:val="1F497D"/>
                <w:sz w:val="12"/>
                <w:szCs w:val="12"/>
                <w:lang w:val="en-GB" w:eastAsia="en-GB"/>
              </w:rPr>
            </w:pPr>
            <w:r>
              <w:rPr>
                <w:rFonts w:ascii="Calibri" w:eastAsia="Times New Roman" w:hAnsi="Calibri" w:cs="Calibri"/>
                <w:b/>
                <w:bCs/>
                <w:color w:val="1F497D"/>
                <w:sz w:val="12"/>
                <w:szCs w:val="12"/>
                <w:lang w:val="en-GB" w:eastAsia="en-GB"/>
              </w:rPr>
              <w:t>ano**</w:t>
            </w:r>
          </w:p>
        </w:tc>
        <w:tc>
          <w:tcPr>
            <w:tcW w:w="703" w:type="dxa"/>
            <w:tcBorders>
              <w:bottom w:val="single" w:sz="4" w:space="0" w:color="000000"/>
              <w:right w:val="single" w:sz="4" w:space="0" w:color="000000"/>
            </w:tcBorders>
            <w:shd w:val="clear" w:color="000000" w:fill="FFFFFF"/>
            <w:vAlign w:val="center"/>
          </w:tcPr>
          <w:p w:rsidR="00287B1D" w:rsidRDefault="00BB6CB9">
            <w:pPr>
              <w:spacing w:after="0" w:line="240" w:lineRule="auto"/>
              <w:jc w:val="center"/>
              <w:rPr>
                <w:rFonts w:ascii="Calibri" w:eastAsia="Times New Roman" w:hAnsi="Calibri" w:cs="Calibri"/>
                <w:b/>
                <w:bCs/>
                <w:color w:val="1F497D"/>
                <w:sz w:val="12"/>
                <w:szCs w:val="12"/>
                <w:lang w:val="en-GB" w:eastAsia="en-GB"/>
              </w:rPr>
            </w:pPr>
            <w:r>
              <w:rPr>
                <w:rFonts w:ascii="Calibri" w:eastAsia="Times New Roman" w:hAnsi="Calibri" w:cs="Calibri"/>
                <w:b/>
                <w:bCs/>
                <w:color w:val="1F497D"/>
                <w:sz w:val="12"/>
                <w:szCs w:val="12"/>
                <w:lang w:val="en-GB" w:eastAsia="en-GB"/>
              </w:rPr>
              <w:t>****</w:t>
            </w:r>
          </w:p>
        </w:tc>
        <w:tc>
          <w:tcPr>
            <w:tcW w:w="842" w:type="dxa"/>
            <w:gridSpan w:val="3"/>
            <w:tcBorders>
              <w:bottom w:val="single" w:sz="4" w:space="0" w:color="000000"/>
              <w:right w:val="single" w:sz="4" w:space="0" w:color="000000"/>
            </w:tcBorders>
            <w:shd w:val="clear" w:color="000000" w:fill="FFFFFF"/>
            <w:vAlign w:val="center"/>
          </w:tcPr>
          <w:p w:rsidR="00287B1D" w:rsidRDefault="00BB6CB9">
            <w:pPr>
              <w:spacing w:after="0" w:line="240" w:lineRule="auto"/>
              <w:jc w:val="center"/>
              <w:rPr>
                <w:rFonts w:ascii="Calibri" w:eastAsia="Times New Roman" w:hAnsi="Calibri" w:cs="Calibri"/>
                <w:b/>
                <w:bCs/>
                <w:color w:val="1F497D"/>
                <w:sz w:val="12"/>
                <w:szCs w:val="12"/>
                <w:lang w:val="en-GB" w:eastAsia="en-GB"/>
              </w:rPr>
            </w:pPr>
            <w:r>
              <w:rPr>
                <w:rFonts w:ascii="Calibri" w:eastAsia="Times New Roman" w:hAnsi="Calibri" w:cs="Calibri"/>
                <w:b/>
                <w:bCs/>
                <w:color w:val="1F497D"/>
                <w:sz w:val="12"/>
                <w:szCs w:val="12"/>
                <w:lang w:val="en-GB" w:eastAsia="en-GB"/>
              </w:rPr>
              <w:t>*****</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trike/>
                <w:sz w:val="12"/>
                <w:szCs w:val="12"/>
                <w:lang w:val="en-GB" w:eastAsia="en-GB"/>
              </w:rPr>
            </w:pPr>
            <w:r>
              <w:rPr>
                <w:rFonts w:ascii="Calibri" w:eastAsia="Times New Roman" w:hAnsi="Calibri" w:cs="Calibri"/>
                <w:b/>
                <w:bCs/>
                <w:strike/>
                <w:sz w:val="12"/>
                <w:szCs w:val="12"/>
                <w:lang w:val="en-GB" w:eastAsia="en-GB"/>
              </w:rPr>
              <w:t>130-000</w:t>
            </w:r>
          </w:p>
        </w:tc>
        <w:tc>
          <w:tcPr>
            <w:tcW w:w="2297" w:type="dxa"/>
            <w:tcBorders>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1F497D"/>
                <w:sz w:val="12"/>
                <w:szCs w:val="12"/>
                <w:lang w:val="en-GB" w:eastAsia="en-GB"/>
              </w:rPr>
            </w:pPr>
            <w:r>
              <w:rPr>
                <w:rFonts w:ascii="Calibri" w:eastAsia="Times New Roman" w:hAnsi="Calibri" w:cs="Calibri"/>
                <w:b/>
                <w:bCs/>
                <w:color w:val="1F497D"/>
                <w:sz w:val="12"/>
                <w:szCs w:val="12"/>
                <w:lang w:val="en-GB" w:eastAsia="en-GB"/>
              </w:rPr>
              <w:t xml:space="preserve">AQ3 Mini  </w:t>
            </w:r>
            <w:r>
              <w:rPr>
                <w:rFonts w:ascii="Calibri" w:eastAsia="Times New Roman" w:hAnsi="Calibri" w:cs="Calibri"/>
                <w:b/>
                <w:bCs/>
                <w:color w:val="CC00FF"/>
                <w:sz w:val="12"/>
                <w:szCs w:val="12"/>
                <w:lang w:val="en-GB" w:eastAsia="en-GB"/>
              </w:rPr>
              <w:t>Exclusive</w:t>
            </w:r>
          </w:p>
        </w:tc>
        <w:tc>
          <w:tcPr>
            <w:tcW w:w="1821" w:type="dxa"/>
            <w:tcBorders>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1F497D"/>
                <w:sz w:val="12"/>
                <w:szCs w:val="12"/>
                <w:lang w:val="en-GB" w:eastAsia="en-GB"/>
              </w:rPr>
            </w:pPr>
            <w:r>
              <w:rPr>
                <w:rFonts w:ascii="Calibri" w:eastAsia="Times New Roman" w:hAnsi="Calibri" w:cs="Calibri"/>
                <w:b/>
                <w:bCs/>
                <w:color w:val="1F497D"/>
                <w:sz w:val="12"/>
                <w:szCs w:val="12"/>
                <w:lang w:val="en-GB" w:eastAsia="en-GB"/>
              </w:rPr>
              <w:t>úprava vody z VVŘ</w:t>
            </w:r>
          </w:p>
        </w:tc>
        <w:tc>
          <w:tcPr>
            <w:tcW w:w="932" w:type="dxa"/>
            <w:gridSpan w:val="2"/>
            <w:tcBorders>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1F497D"/>
                <w:sz w:val="12"/>
                <w:szCs w:val="12"/>
                <w:lang w:val="en-GB" w:eastAsia="en-GB"/>
              </w:rPr>
            </w:pPr>
            <w:r>
              <w:rPr>
                <w:rFonts w:ascii="Calibri" w:eastAsia="Times New Roman" w:hAnsi="Calibri" w:cs="Calibri"/>
                <w:b/>
                <w:bCs/>
                <w:color w:val="1F497D"/>
                <w:sz w:val="12"/>
                <w:szCs w:val="12"/>
                <w:lang w:val="en-GB" w:eastAsia="en-GB"/>
              </w:rPr>
              <w:t>RDM_2B</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color w:val="1F497D"/>
                <w:sz w:val="11"/>
                <w:szCs w:val="11"/>
                <w:lang w:val="en-GB" w:eastAsia="en-GB"/>
              </w:rPr>
            </w:pPr>
            <w:r>
              <w:rPr>
                <w:rFonts w:ascii="Calibri" w:eastAsia="Times New Roman" w:hAnsi="Calibri" w:cs="Calibri"/>
                <w:b/>
                <w:bCs/>
                <w:color w:val="1F497D"/>
                <w:sz w:val="11"/>
                <w:szCs w:val="11"/>
                <w:lang w:val="en-GB" w:eastAsia="en-GB"/>
              </w:rPr>
              <w:t>Exclusive</w:t>
            </w:r>
          </w:p>
        </w:tc>
        <w:tc>
          <w:tcPr>
            <w:tcW w:w="896" w:type="dxa"/>
            <w:tcBorders>
              <w:top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1F497D"/>
                <w:sz w:val="12"/>
                <w:szCs w:val="12"/>
                <w:lang w:val="en-GB" w:eastAsia="en-GB"/>
              </w:rPr>
            </w:pPr>
            <w:r>
              <w:rPr>
                <w:rFonts w:ascii="Calibri" w:eastAsia="Times New Roman" w:hAnsi="Calibri" w:cs="Calibri"/>
                <w:b/>
                <w:bCs/>
                <w:color w:val="1F497D"/>
                <w:sz w:val="12"/>
                <w:szCs w:val="12"/>
                <w:lang w:val="en-GB" w:eastAsia="en-GB"/>
              </w:rPr>
              <w:t>separační</w:t>
            </w:r>
          </w:p>
        </w:tc>
        <w:tc>
          <w:tcPr>
            <w:tcW w:w="1005"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1F497D"/>
                <w:sz w:val="9"/>
                <w:szCs w:val="9"/>
                <w:lang w:val="en-GB" w:eastAsia="en-GB"/>
              </w:rPr>
            </w:pPr>
            <w:r>
              <w:rPr>
                <w:rFonts w:ascii="Calibri" w:eastAsia="Times New Roman" w:hAnsi="Calibri" w:cs="Calibri"/>
                <w:b/>
                <w:bCs/>
                <w:color w:val="1F497D"/>
                <w:sz w:val="9"/>
                <w:szCs w:val="9"/>
                <w:lang w:val="en-GB" w:eastAsia="en-GB"/>
              </w:rPr>
              <w:t>Power, Solar*, Dual*</w:t>
            </w:r>
          </w:p>
        </w:tc>
        <w:tc>
          <w:tcPr>
            <w:tcW w:w="62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jc w:val="center"/>
              <w:rPr>
                <w:rFonts w:ascii="Calibri" w:eastAsia="Times New Roman" w:hAnsi="Calibri" w:cs="Calibri"/>
                <w:b/>
                <w:bCs/>
                <w:color w:val="1F497D"/>
                <w:sz w:val="12"/>
                <w:szCs w:val="12"/>
                <w:lang w:val="en-GB" w:eastAsia="en-GB"/>
              </w:rPr>
            </w:pPr>
            <w:r>
              <w:rPr>
                <w:rFonts w:ascii="Calibri" w:eastAsia="Times New Roman" w:hAnsi="Calibri" w:cs="Calibri"/>
                <w:b/>
                <w:bCs/>
                <w:color w:val="1F497D"/>
                <w:sz w:val="12"/>
                <w:szCs w:val="12"/>
                <w:lang w:val="en-GB" w:eastAsia="en-GB"/>
              </w:rPr>
              <w:t>ano**</w:t>
            </w:r>
          </w:p>
        </w:tc>
        <w:tc>
          <w:tcPr>
            <w:tcW w:w="703" w:type="dxa"/>
            <w:tcBorders>
              <w:bottom w:val="single" w:sz="4" w:space="0" w:color="000000"/>
              <w:right w:val="single" w:sz="4" w:space="0" w:color="000000"/>
            </w:tcBorders>
            <w:shd w:val="clear" w:color="000000" w:fill="FFFFFF"/>
            <w:vAlign w:val="center"/>
          </w:tcPr>
          <w:p w:rsidR="00287B1D" w:rsidRDefault="00BB6CB9">
            <w:pPr>
              <w:spacing w:after="0" w:line="240" w:lineRule="auto"/>
              <w:jc w:val="center"/>
              <w:rPr>
                <w:rFonts w:ascii="Calibri" w:eastAsia="Times New Roman" w:hAnsi="Calibri" w:cs="Calibri"/>
                <w:b/>
                <w:bCs/>
                <w:color w:val="1F497D"/>
                <w:sz w:val="12"/>
                <w:szCs w:val="12"/>
                <w:lang w:val="en-GB" w:eastAsia="en-GB"/>
              </w:rPr>
            </w:pPr>
            <w:r>
              <w:rPr>
                <w:rFonts w:ascii="Calibri" w:eastAsia="Times New Roman" w:hAnsi="Calibri" w:cs="Calibri"/>
                <w:b/>
                <w:bCs/>
                <w:color w:val="1F497D"/>
                <w:sz w:val="12"/>
                <w:szCs w:val="12"/>
                <w:lang w:val="en-GB" w:eastAsia="en-GB"/>
              </w:rPr>
              <w:t>****</w:t>
            </w:r>
          </w:p>
        </w:tc>
        <w:tc>
          <w:tcPr>
            <w:tcW w:w="842" w:type="dxa"/>
            <w:gridSpan w:val="3"/>
            <w:tcBorders>
              <w:bottom w:val="single" w:sz="4" w:space="0" w:color="000000"/>
              <w:right w:val="single" w:sz="4" w:space="0" w:color="000000"/>
            </w:tcBorders>
            <w:shd w:val="clear" w:color="000000" w:fill="FFFFFF"/>
            <w:vAlign w:val="center"/>
          </w:tcPr>
          <w:p w:rsidR="00287B1D" w:rsidRDefault="00BB6CB9">
            <w:pPr>
              <w:spacing w:after="0" w:line="240" w:lineRule="auto"/>
              <w:jc w:val="center"/>
              <w:rPr>
                <w:rFonts w:ascii="Calibri" w:eastAsia="Times New Roman" w:hAnsi="Calibri" w:cs="Calibri"/>
                <w:b/>
                <w:bCs/>
                <w:color w:val="1F497D"/>
                <w:sz w:val="12"/>
                <w:szCs w:val="12"/>
                <w:lang w:val="en-GB" w:eastAsia="en-GB"/>
              </w:rPr>
            </w:pPr>
            <w:r>
              <w:rPr>
                <w:rFonts w:ascii="Calibri" w:eastAsia="Times New Roman" w:hAnsi="Calibri" w:cs="Calibri"/>
                <w:b/>
                <w:bCs/>
                <w:color w:val="1F497D"/>
                <w:sz w:val="12"/>
                <w:szCs w:val="12"/>
                <w:lang w:val="en-GB" w:eastAsia="en-GB"/>
              </w:rPr>
              <w:t>*****</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trike/>
                <w:sz w:val="12"/>
                <w:szCs w:val="12"/>
                <w:lang w:val="en-GB" w:eastAsia="en-GB"/>
              </w:rPr>
            </w:pPr>
            <w:r>
              <w:rPr>
                <w:rFonts w:ascii="Calibri" w:eastAsia="Times New Roman" w:hAnsi="Calibri" w:cs="Calibri"/>
                <w:b/>
                <w:bCs/>
                <w:strike/>
                <w:sz w:val="12"/>
                <w:szCs w:val="12"/>
                <w:lang w:val="en-GB" w:eastAsia="en-GB"/>
              </w:rPr>
              <w:t>140-000</w:t>
            </w:r>
          </w:p>
        </w:tc>
        <w:tc>
          <w:tcPr>
            <w:tcW w:w="2297" w:type="dxa"/>
            <w:tcBorders>
              <w:top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00B050"/>
                <w:sz w:val="12"/>
                <w:szCs w:val="12"/>
                <w:lang w:val="en-GB" w:eastAsia="en-GB"/>
              </w:rPr>
            </w:pPr>
            <w:r>
              <w:rPr>
                <w:rFonts w:ascii="Calibri" w:eastAsia="Times New Roman" w:hAnsi="Calibri" w:cs="Calibri"/>
                <w:b/>
                <w:bCs/>
                <w:color w:val="00B050"/>
                <w:sz w:val="12"/>
                <w:szCs w:val="12"/>
                <w:lang w:val="en-GB" w:eastAsia="en-GB"/>
              </w:rPr>
              <w:t>AQ3 Mini Café Standard</w:t>
            </w:r>
          </w:p>
        </w:tc>
        <w:tc>
          <w:tcPr>
            <w:tcW w:w="1821" w:type="dxa"/>
            <w:tcBorders>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00B050"/>
                <w:sz w:val="12"/>
                <w:szCs w:val="12"/>
                <w:lang w:val="en-GB" w:eastAsia="en-GB"/>
              </w:rPr>
            </w:pPr>
            <w:r>
              <w:rPr>
                <w:rFonts w:ascii="Calibri" w:eastAsia="Times New Roman" w:hAnsi="Calibri" w:cs="Calibri"/>
                <w:b/>
                <w:bCs/>
                <w:color w:val="00B050"/>
                <w:sz w:val="12"/>
                <w:szCs w:val="12"/>
                <w:lang w:val="en-GB" w:eastAsia="en-GB"/>
              </w:rPr>
              <w:t>úprava vody pro kávovary</w:t>
            </w:r>
          </w:p>
        </w:tc>
        <w:tc>
          <w:tcPr>
            <w:tcW w:w="932" w:type="dxa"/>
            <w:gridSpan w:val="2"/>
            <w:tcBorders>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00B050"/>
                <w:sz w:val="12"/>
                <w:szCs w:val="12"/>
                <w:lang w:val="en-GB" w:eastAsia="en-GB"/>
              </w:rPr>
            </w:pPr>
            <w:r>
              <w:rPr>
                <w:rFonts w:ascii="Calibri" w:eastAsia="Times New Roman" w:hAnsi="Calibri" w:cs="Calibri"/>
                <w:b/>
                <w:bCs/>
                <w:color w:val="00B050"/>
                <w:sz w:val="12"/>
                <w:szCs w:val="12"/>
                <w:lang w:val="en-GB" w:eastAsia="en-GB"/>
              </w:rPr>
              <w:t>RDM_2B</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color w:val="00B050"/>
                <w:sz w:val="11"/>
                <w:szCs w:val="11"/>
                <w:lang w:val="en-GB" w:eastAsia="en-GB"/>
              </w:rPr>
            </w:pPr>
            <w:r>
              <w:rPr>
                <w:rFonts w:ascii="Calibri" w:eastAsia="Times New Roman" w:hAnsi="Calibri" w:cs="Calibri"/>
                <w:b/>
                <w:bCs/>
                <w:color w:val="00B050"/>
                <w:sz w:val="11"/>
                <w:szCs w:val="11"/>
                <w:lang w:val="en-GB" w:eastAsia="en-GB"/>
              </w:rPr>
              <w:t>Standard</w:t>
            </w:r>
          </w:p>
        </w:tc>
        <w:tc>
          <w:tcPr>
            <w:tcW w:w="896" w:type="dxa"/>
            <w:tcBorders>
              <w:top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00B050"/>
                <w:sz w:val="12"/>
                <w:szCs w:val="12"/>
                <w:lang w:val="en-GB" w:eastAsia="en-GB"/>
              </w:rPr>
            </w:pPr>
            <w:r>
              <w:rPr>
                <w:rFonts w:ascii="Calibri" w:eastAsia="Times New Roman" w:hAnsi="Calibri" w:cs="Calibri"/>
                <w:b/>
                <w:bCs/>
                <w:color w:val="00B050"/>
                <w:sz w:val="12"/>
                <w:szCs w:val="12"/>
                <w:lang w:val="en-GB" w:eastAsia="en-GB"/>
              </w:rPr>
              <w:t>separační</w:t>
            </w:r>
          </w:p>
        </w:tc>
        <w:tc>
          <w:tcPr>
            <w:tcW w:w="1005"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00B050"/>
                <w:sz w:val="9"/>
                <w:szCs w:val="9"/>
                <w:lang w:val="en-GB" w:eastAsia="en-GB"/>
              </w:rPr>
            </w:pPr>
            <w:r>
              <w:rPr>
                <w:rFonts w:ascii="Calibri" w:eastAsia="Times New Roman" w:hAnsi="Calibri" w:cs="Calibri"/>
                <w:b/>
                <w:bCs/>
                <w:color w:val="00B050"/>
                <w:sz w:val="9"/>
                <w:szCs w:val="9"/>
                <w:lang w:val="en-GB" w:eastAsia="en-GB"/>
              </w:rPr>
              <w:t>Power, Solar*, Dual*</w:t>
            </w:r>
          </w:p>
        </w:tc>
        <w:tc>
          <w:tcPr>
            <w:tcW w:w="62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jc w:val="center"/>
              <w:rPr>
                <w:rFonts w:ascii="Calibri" w:eastAsia="Times New Roman" w:hAnsi="Calibri" w:cs="Calibri"/>
                <w:b/>
                <w:bCs/>
                <w:color w:val="00B050"/>
                <w:sz w:val="12"/>
                <w:szCs w:val="12"/>
                <w:lang w:val="en-GB" w:eastAsia="en-GB"/>
              </w:rPr>
            </w:pPr>
            <w:r>
              <w:rPr>
                <w:rFonts w:ascii="Calibri" w:eastAsia="Times New Roman" w:hAnsi="Calibri" w:cs="Calibri"/>
                <w:b/>
                <w:bCs/>
                <w:color w:val="00B050"/>
                <w:sz w:val="12"/>
                <w:szCs w:val="12"/>
                <w:lang w:val="en-GB" w:eastAsia="en-GB"/>
              </w:rPr>
              <w:t>ano***</w:t>
            </w:r>
          </w:p>
        </w:tc>
        <w:tc>
          <w:tcPr>
            <w:tcW w:w="703" w:type="dxa"/>
            <w:tcBorders>
              <w:bottom w:val="single" w:sz="4" w:space="0" w:color="000000"/>
              <w:right w:val="single" w:sz="4" w:space="0" w:color="000000"/>
            </w:tcBorders>
            <w:shd w:val="clear" w:color="000000" w:fill="FFFFFF"/>
            <w:vAlign w:val="center"/>
          </w:tcPr>
          <w:p w:rsidR="00287B1D" w:rsidRDefault="00BB6CB9">
            <w:pPr>
              <w:spacing w:after="0" w:line="240" w:lineRule="auto"/>
              <w:jc w:val="center"/>
              <w:rPr>
                <w:rFonts w:ascii="Calibri" w:eastAsia="Times New Roman" w:hAnsi="Calibri" w:cs="Calibri"/>
                <w:b/>
                <w:bCs/>
                <w:color w:val="00B050"/>
                <w:sz w:val="12"/>
                <w:szCs w:val="12"/>
                <w:lang w:val="en-GB" w:eastAsia="en-GB"/>
              </w:rPr>
            </w:pPr>
            <w:r>
              <w:rPr>
                <w:rFonts w:ascii="Calibri" w:eastAsia="Times New Roman" w:hAnsi="Calibri" w:cs="Calibri"/>
                <w:b/>
                <w:bCs/>
                <w:color w:val="00B050"/>
                <w:sz w:val="12"/>
                <w:szCs w:val="12"/>
                <w:lang w:val="en-GB" w:eastAsia="en-GB"/>
              </w:rPr>
              <w:t>****</w:t>
            </w:r>
          </w:p>
        </w:tc>
        <w:tc>
          <w:tcPr>
            <w:tcW w:w="842" w:type="dxa"/>
            <w:gridSpan w:val="3"/>
            <w:tcBorders>
              <w:bottom w:val="single" w:sz="4" w:space="0" w:color="000000"/>
              <w:right w:val="single" w:sz="4" w:space="0" w:color="000000"/>
            </w:tcBorders>
            <w:shd w:val="clear" w:color="000000" w:fill="FFFFFF"/>
            <w:vAlign w:val="center"/>
          </w:tcPr>
          <w:p w:rsidR="00287B1D" w:rsidRDefault="00BB6CB9">
            <w:pPr>
              <w:spacing w:after="0" w:line="240" w:lineRule="auto"/>
              <w:jc w:val="center"/>
              <w:rPr>
                <w:rFonts w:ascii="Calibri" w:eastAsia="Times New Roman" w:hAnsi="Calibri" w:cs="Calibri"/>
                <w:b/>
                <w:bCs/>
                <w:color w:val="00B050"/>
                <w:sz w:val="12"/>
                <w:szCs w:val="12"/>
                <w:lang w:val="en-GB" w:eastAsia="en-GB"/>
              </w:rPr>
            </w:pPr>
            <w:r>
              <w:rPr>
                <w:rFonts w:ascii="Calibri" w:eastAsia="Times New Roman" w:hAnsi="Calibri" w:cs="Calibri"/>
                <w:b/>
                <w:bCs/>
                <w:color w:val="00B050"/>
                <w:sz w:val="12"/>
                <w:szCs w:val="12"/>
                <w:lang w:val="en-GB" w:eastAsia="en-GB"/>
              </w:rPr>
              <w:t>*****</w:t>
            </w:r>
          </w:p>
        </w:tc>
        <w:tc>
          <w:tcPr>
            <w:tcW w:w="222" w:type="dxa"/>
          </w:tcPr>
          <w:p w:rsidR="00287B1D" w:rsidRDefault="00287B1D"/>
        </w:tc>
      </w:tr>
      <w:tr w:rsidR="00287B1D" w:rsidTr="00766381">
        <w:trPr>
          <w:trHeight w:val="300"/>
        </w:trPr>
        <w:tc>
          <w:tcPr>
            <w:tcW w:w="833" w:type="dxa"/>
            <w:tcBorders>
              <w:left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trike/>
                <w:sz w:val="12"/>
                <w:szCs w:val="12"/>
                <w:lang w:val="en-GB" w:eastAsia="en-GB"/>
              </w:rPr>
            </w:pPr>
            <w:r>
              <w:rPr>
                <w:rFonts w:ascii="Calibri" w:eastAsia="Times New Roman" w:hAnsi="Calibri" w:cs="Calibri"/>
                <w:b/>
                <w:bCs/>
                <w:strike/>
                <w:sz w:val="12"/>
                <w:szCs w:val="12"/>
                <w:lang w:val="en-GB" w:eastAsia="en-GB"/>
              </w:rPr>
              <w:t>150-000</w:t>
            </w:r>
          </w:p>
        </w:tc>
        <w:tc>
          <w:tcPr>
            <w:tcW w:w="2297" w:type="dxa"/>
            <w:tcBorders>
              <w:bottom w:val="single" w:sz="8"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00B050"/>
                <w:sz w:val="12"/>
                <w:szCs w:val="12"/>
                <w:lang w:val="en-GB" w:eastAsia="en-GB"/>
              </w:rPr>
            </w:pPr>
            <w:r>
              <w:rPr>
                <w:rFonts w:ascii="Calibri" w:eastAsia="Times New Roman" w:hAnsi="Calibri" w:cs="Calibri"/>
                <w:b/>
                <w:bCs/>
                <w:color w:val="00B050"/>
                <w:sz w:val="12"/>
                <w:szCs w:val="12"/>
                <w:lang w:val="en-GB" w:eastAsia="en-GB"/>
              </w:rPr>
              <w:t xml:space="preserve">AQ3 Mini Café </w:t>
            </w:r>
            <w:r>
              <w:rPr>
                <w:rFonts w:ascii="Calibri" w:eastAsia="Times New Roman" w:hAnsi="Calibri" w:cs="Calibri"/>
                <w:b/>
                <w:bCs/>
                <w:color w:val="CC00FF"/>
                <w:sz w:val="12"/>
                <w:szCs w:val="12"/>
                <w:lang w:val="en-GB" w:eastAsia="en-GB"/>
              </w:rPr>
              <w:t>Exclusive</w:t>
            </w:r>
          </w:p>
        </w:tc>
        <w:tc>
          <w:tcPr>
            <w:tcW w:w="1821" w:type="dxa"/>
            <w:tcBorders>
              <w:bottom w:val="single" w:sz="8"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00B050"/>
                <w:sz w:val="12"/>
                <w:szCs w:val="12"/>
                <w:lang w:val="en-GB" w:eastAsia="en-GB"/>
              </w:rPr>
            </w:pPr>
            <w:r>
              <w:rPr>
                <w:rFonts w:ascii="Calibri" w:eastAsia="Times New Roman" w:hAnsi="Calibri" w:cs="Calibri"/>
                <w:b/>
                <w:bCs/>
                <w:color w:val="00B050"/>
                <w:sz w:val="12"/>
                <w:szCs w:val="12"/>
                <w:lang w:val="en-GB" w:eastAsia="en-GB"/>
              </w:rPr>
              <w:t>úprava vody pro kávovary</w:t>
            </w:r>
          </w:p>
        </w:tc>
        <w:tc>
          <w:tcPr>
            <w:tcW w:w="932" w:type="dxa"/>
            <w:gridSpan w:val="2"/>
            <w:tcBorders>
              <w:bottom w:val="single" w:sz="8"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00B050"/>
                <w:sz w:val="12"/>
                <w:szCs w:val="12"/>
                <w:lang w:val="en-GB" w:eastAsia="en-GB"/>
              </w:rPr>
            </w:pPr>
            <w:r>
              <w:rPr>
                <w:rFonts w:ascii="Calibri" w:eastAsia="Times New Roman" w:hAnsi="Calibri" w:cs="Calibri"/>
                <w:b/>
                <w:bCs/>
                <w:color w:val="00B050"/>
                <w:sz w:val="12"/>
                <w:szCs w:val="12"/>
                <w:lang w:val="en-GB" w:eastAsia="en-GB"/>
              </w:rPr>
              <w:t>RDM_2B</w:t>
            </w:r>
          </w:p>
        </w:tc>
        <w:tc>
          <w:tcPr>
            <w:tcW w:w="837" w:type="dxa"/>
            <w:tcBorders>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color w:val="00B050"/>
                <w:sz w:val="11"/>
                <w:szCs w:val="11"/>
                <w:lang w:val="en-GB" w:eastAsia="en-GB"/>
              </w:rPr>
            </w:pPr>
            <w:r>
              <w:rPr>
                <w:rFonts w:ascii="Calibri" w:eastAsia="Times New Roman" w:hAnsi="Calibri" w:cs="Calibri"/>
                <w:b/>
                <w:bCs/>
                <w:color w:val="00B050"/>
                <w:sz w:val="11"/>
                <w:szCs w:val="11"/>
                <w:lang w:val="en-GB" w:eastAsia="en-GB"/>
              </w:rPr>
              <w:t>Exclusive</w:t>
            </w:r>
          </w:p>
        </w:tc>
        <w:tc>
          <w:tcPr>
            <w:tcW w:w="896" w:type="dxa"/>
            <w:tcBorders>
              <w:top w:val="single" w:sz="4" w:space="0" w:color="000000"/>
              <w:bottom w:val="single" w:sz="8"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00B050"/>
                <w:sz w:val="12"/>
                <w:szCs w:val="12"/>
                <w:lang w:val="en-GB" w:eastAsia="en-GB"/>
              </w:rPr>
            </w:pPr>
            <w:r>
              <w:rPr>
                <w:rFonts w:ascii="Calibri" w:eastAsia="Times New Roman" w:hAnsi="Calibri" w:cs="Calibri"/>
                <w:b/>
                <w:bCs/>
                <w:color w:val="00B050"/>
                <w:sz w:val="12"/>
                <w:szCs w:val="12"/>
                <w:lang w:val="en-GB" w:eastAsia="en-GB"/>
              </w:rPr>
              <w:t>separační</w:t>
            </w:r>
          </w:p>
        </w:tc>
        <w:tc>
          <w:tcPr>
            <w:tcW w:w="1005" w:type="dxa"/>
            <w:tcBorders>
              <w:top w:val="single" w:sz="4" w:space="0" w:color="000000"/>
              <w:left w:val="single" w:sz="4" w:space="0" w:color="000000"/>
              <w:bottom w:val="single" w:sz="8"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00B050"/>
                <w:sz w:val="9"/>
                <w:szCs w:val="9"/>
                <w:lang w:val="en-GB" w:eastAsia="en-GB"/>
              </w:rPr>
            </w:pPr>
            <w:r>
              <w:rPr>
                <w:rFonts w:ascii="Calibri" w:eastAsia="Times New Roman" w:hAnsi="Calibri" w:cs="Calibri"/>
                <w:b/>
                <w:bCs/>
                <w:color w:val="00B050"/>
                <w:sz w:val="9"/>
                <w:szCs w:val="9"/>
                <w:lang w:val="en-GB" w:eastAsia="en-GB"/>
              </w:rPr>
              <w:t>Power, Solar*, Dual*</w:t>
            </w:r>
          </w:p>
        </w:tc>
        <w:tc>
          <w:tcPr>
            <w:tcW w:w="622" w:type="dxa"/>
            <w:tcBorders>
              <w:top w:val="single" w:sz="4" w:space="0" w:color="000000"/>
              <w:left w:val="single" w:sz="4" w:space="0" w:color="000000"/>
              <w:bottom w:val="single" w:sz="8" w:space="0" w:color="000000"/>
              <w:right w:val="single" w:sz="4" w:space="0" w:color="000000"/>
            </w:tcBorders>
            <w:shd w:val="clear" w:color="000000" w:fill="FFFFFF"/>
            <w:vAlign w:val="center"/>
          </w:tcPr>
          <w:p w:rsidR="00287B1D" w:rsidRDefault="00BB6CB9">
            <w:pPr>
              <w:spacing w:after="0" w:line="240" w:lineRule="auto"/>
              <w:jc w:val="center"/>
              <w:rPr>
                <w:rFonts w:ascii="Calibri" w:eastAsia="Times New Roman" w:hAnsi="Calibri" w:cs="Calibri"/>
                <w:b/>
                <w:bCs/>
                <w:color w:val="00B050"/>
                <w:sz w:val="12"/>
                <w:szCs w:val="12"/>
                <w:lang w:val="en-GB" w:eastAsia="en-GB"/>
              </w:rPr>
            </w:pPr>
            <w:r>
              <w:rPr>
                <w:rFonts w:ascii="Calibri" w:eastAsia="Times New Roman" w:hAnsi="Calibri" w:cs="Calibri"/>
                <w:b/>
                <w:bCs/>
                <w:color w:val="00B050"/>
                <w:sz w:val="12"/>
                <w:szCs w:val="12"/>
                <w:lang w:val="en-GB" w:eastAsia="en-GB"/>
              </w:rPr>
              <w:t>ano***</w:t>
            </w:r>
          </w:p>
        </w:tc>
        <w:tc>
          <w:tcPr>
            <w:tcW w:w="703" w:type="dxa"/>
            <w:tcBorders>
              <w:bottom w:val="single" w:sz="8" w:space="0" w:color="000000"/>
              <w:right w:val="single" w:sz="4" w:space="0" w:color="000000"/>
            </w:tcBorders>
            <w:shd w:val="clear" w:color="000000" w:fill="FFFFFF"/>
            <w:vAlign w:val="center"/>
          </w:tcPr>
          <w:p w:rsidR="00287B1D" w:rsidRDefault="00BB6CB9">
            <w:pPr>
              <w:spacing w:after="0" w:line="240" w:lineRule="auto"/>
              <w:jc w:val="center"/>
              <w:rPr>
                <w:rFonts w:ascii="Calibri" w:eastAsia="Times New Roman" w:hAnsi="Calibri" w:cs="Calibri"/>
                <w:b/>
                <w:bCs/>
                <w:color w:val="00B050"/>
                <w:sz w:val="12"/>
                <w:szCs w:val="12"/>
                <w:lang w:val="en-GB" w:eastAsia="en-GB"/>
              </w:rPr>
            </w:pPr>
            <w:r>
              <w:rPr>
                <w:rFonts w:ascii="Calibri" w:eastAsia="Times New Roman" w:hAnsi="Calibri" w:cs="Calibri"/>
                <w:b/>
                <w:bCs/>
                <w:color w:val="00B050"/>
                <w:sz w:val="12"/>
                <w:szCs w:val="12"/>
                <w:lang w:val="en-GB" w:eastAsia="en-GB"/>
              </w:rPr>
              <w:t>****</w:t>
            </w:r>
          </w:p>
        </w:tc>
        <w:tc>
          <w:tcPr>
            <w:tcW w:w="842" w:type="dxa"/>
            <w:gridSpan w:val="3"/>
            <w:tcBorders>
              <w:bottom w:val="single" w:sz="8" w:space="0" w:color="000000"/>
              <w:right w:val="single" w:sz="4" w:space="0" w:color="000000"/>
            </w:tcBorders>
            <w:shd w:val="clear" w:color="000000" w:fill="FFFFFF"/>
            <w:vAlign w:val="center"/>
          </w:tcPr>
          <w:p w:rsidR="00287B1D" w:rsidRDefault="00BB6CB9">
            <w:pPr>
              <w:spacing w:after="0" w:line="240" w:lineRule="auto"/>
              <w:jc w:val="center"/>
              <w:rPr>
                <w:rFonts w:ascii="Calibri" w:eastAsia="Times New Roman" w:hAnsi="Calibri" w:cs="Calibri"/>
                <w:b/>
                <w:bCs/>
                <w:color w:val="00B050"/>
                <w:sz w:val="12"/>
                <w:szCs w:val="12"/>
                <w:lang w:val="en-GB" w:eastAsia="en-GB"/>
              </w:rPr>
            </w:pPr>
            <w:r>
              <w:rPr>
                <w:rFonts w:ascii="Calibri" w:eastAsia="Times New Roman" w:hAnsi="Calibri" w:cs="Calibri"/>
                <w:b/>
                <w:bCs/>
                <w:color w:val="00B050"/>
                <w:sz w:val="12"/>
                <w:szCs w:val="12"/>
                <w:lang w:val="en-GB" w:eastAsia="en-GB"/>
              </w:rPr>
              <w:t>*****</w:t>
            </w:r>
          </w:p>
        </w:tc>
        <w:tc>
          <w:tcPr>
            <w:tcW w:w="222" w:type="dxa"/>
          </w:tcPr>
          <w:p w:rsidR="00287B1D" w:rsidRDefault="00287B1D"/>
        </w:tc>
      </w:tr>
      <w:tr w:rsidR="00287B1D" w:rsidTr="00766381">
        <w:trPr>
          <w:trHeight w:val="330"/>
        </w:trPr>
        <w:tc>
          <w:tcPr>
            <w:tcW w:w="833" w:type="dxa"/>
            <w:tcBorders>
              <w:top w:val="single" w:sz="8" w:space="0" w:color="000000"/>
              <w:left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SP95-27-006</w:t>
            </w:r>
          </w:p>
        </w:tc>
        <w:tc>
          <w:tcPr>
            <w:tcW w:w="2297" w:type="dxa"/>
            <w:tcBorders>
              <w:top w:val="single" w:sz="8"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Servisní desinfekční modul</w:t>
            </w:r>
          </w:p>
        </w:tc>
        <w:tc>
          <w:tcPr>
            <w:tcW w:w="2753" w:type="dxa"/>
            <w:gridSpan w:val="3"/>
            <w:tcBorders>
              <w:top w:val="single" w:sz="8"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desinfekce tlakových nádrží</w:t>
            </w:r>
          </w:p>
        </w:tc>
        <w:tc>
          <w:tcPr>
            <w:tcW w:w="837" w:type="dxa"/>
            <w:tcBorders>
              <w:top w:val="single" w:sz="8"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1"/>
                <w:szCs w:val="11"/>
                <w:lang w:val="en-GB" w:eastAsia="en-GB"/>
              </w:rPr>
            </w:pPr>
            <w:r>
              <w:rPr>
                <w:rFonts w:ascii="Calibri" w:eastAsia="Times New Roman" w:hAnsi="Calibri" w:cs="Calibri"/>
                <w:color w:val="000000"/>
                <w:sz w:val="11"/>
                <w:szCs w:val="11"/>
                <w:lang w:val="en-GB" w:eastAsia="en-GB"/>
              </w:rPr>
              <w:t>SDM-10" x  2"</w:t>
            </w:r>
          </w:p>
        </w:tc>
        <w:tc>
          <w:tcPr>
            <w:tcW w:w="1901" w:type="dxa"/>
            <w:gridSpan w:val="2"/>
            <w:tcBorders>
              <w:top w:val="single" w:sz="8"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0,33 mL@3% desinfektoru/12 l nádrž</w:t>
            </w:r>
          </w:p>
        </w:tc>
        <w:tc>
          <w:tcPr>
            <w:tcW w:w="622" w:type="dxa"/>
            <w:tcBorders>
              <w:top w:val="single" w:sz="8" w:space="0" w:color="000000"/>
              <w:bottom w:val="single" w:sz="8"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xml:space="preserve"> </w:t>
            </w:r>
          </w:p>
        </w:tc>
        <w:tc>
          <w:tcPr>
            <w:tcW w:w="703" w:type="dxa"/>
            <w:tcBorders>
              <w:top w:val="single" w:sz="8" w:space="0" w:color="000000"/>
              <w:bottom w:val="single" w:sz="8"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top w:val="single" w:sz="8" w:space="0" w:color="000000"/>
              <w:bottom w:val="single" w:sz="8"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SP72-23-001</w:t>
            </w:r>
          </w:p>
        </w:tc>
        <w:tc>
          <w:tcPr>
            <w:tcW w:w="2297" w:type="dxa"/>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Zásobní nádrž</w:t>
            </w:r>
          </w:p>
        </w:tc>
        <w:tc>
          <w:tcPr>
            <w:tcW w:w="2753" w:type="dxa"/>
            <w:gridSpan w:val="3"/>
            <w:tcBorders>
              <w:top w:val="single" w:sz="8"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3/8"</w:t>
            </w:r>
          </w:p>
        </w:tc>
        <w:tc>
          <w:tcPr>
            <w:tcW w:w="837" w:type="dxa"/>
            <w:tcBorders>
              <w:top w:val="single" w:sz="8"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PTPE12</w:t>
            </w:r>
          </w:p>
        </w:tc>
        <w:tc>
          <w:tcPr>
            <w:tcW w:w="1901" w:type="dxa"/>
            <w:gridSpan w:val="2"/>
            <w:tcBorders>
              <w:top w:val="single" w:sz="8" w:space="0" w:color="000000"/>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12 l</w:t>
            </w:r>
          </w:p>
        </w:tc>
        <w:tc>
          <w:tcPr>
            <w:tcW w:w="622" w:type="dxa"/>
            <w:tcBorders>
              <w:top w:val="single" w:sz="8" w:space="0" w:color="000000"/>
              <w:bottom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703" w:type="dxa"/>
            <w:tcBorders>
              <w:top w:val="single" w:sz="8" w:space="0" w:color="000000"/>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top w:val="single" w:sz="8"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SP72-23-002</w:t>
            </w:r>
          </w:p>
        </w:tc>
        <w:tc>
          <w:tcPr>
            <w:tcW w:w="229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Zásobní nádrž</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3/8"</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PTSS18</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18 l</w:t>
            </w:r>
          </w:p>
        </w:tc>
        <w:tc>
          <w:tcPr>
            <w:tcW w:w="622" w:type="dxa"/>
            <w:tcBorders>
              <w:top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703" w:type="dxa"/>
            <w:tcBorders>
              <w:top w:val="single" w:sz="4" w:space="0" w:color="000000"/>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top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SP72-23-003</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Zásobní nádrž</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1"</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PTSS35</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35 l</w:t>
            </w:r>
          </w:p>
        </w:tc>
        <w:tc>
          <w:tcPr>
            <w:tcW w:w="622" w:type="dxa"/>
            <w:tcBorders>
              <w:top w:val="single" w:sz="4" w:space="0" w:color="000000"/>
              <w:bottom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703"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SP72-23-004</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Zásobní nádrž</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1"</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PTSS60</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60 l</w:t>
            </w:r>
          </w:p>
        </w:tc>
        <w:tc>
          <w:tcPr>
            <w:tcW w:w="622" w:type="dxa"/>
            <w:tcBorders>
              <w:bottom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703"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SP72-23-005</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Zásobní nádrž</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1"</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PTSS80</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80 l</w:t>
            </w:r>
          </w:p>
        </w:tc>
        <w:tc>
          <w:tcPr>
            <w:tcW w:w="622" w:type="dxa"/>
            <w:tcBorders>
              <w:bottom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703"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SP72-23-006</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Zásobní nádrž</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1"</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PTSS100</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100 l</w:t>
            </w:r>
          </w:p>
        </w:tc>
        <w:tc>
          <w:tcPr>
            <w:tcW w:w="622" w:type="dxa"/>
            <w:tcBorders>
              <w:bottom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703"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15"/>
        </w:trPr>
        <w:tc>
          <w:tcPr>
            <w:tcW w:w="833" w:type="dxa"/>
            <w:tcBorders>
              <w:left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SP72-23-007</w:t>
            </w:r>
          </w:p>
        </w:tc>
        <w:tc>
          <w:tcPr>
            <w:tcW w:w="2297" w:type="dxa"/>
            <w:tcBorders>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Zásobní nádrž</w:t>
            </w:r>
          </w:p>
        </w:tc>
        <w:tc>
          <w:tcPr>
            <w:tcW w:w="2753" w:type="dxa"/>
            <w:gridSpan w:val="3"/>
            <w:tcBorders>
              <w:top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1"</w:t>
            </w:r>
          </w:p>
        </w:tc>
        <w:tc>
          <w:tcPr>
            <w:tcW w:w="837" w:type="dxa"/>
            <w:tcBorders>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PTSS150</w:t>
            </w:r>
          </w:p>
        </w:tc>
        <w:tc>
          <w:tcPr>
            <w:tcW w:w="1901" w:type="dxa"/>
            <w:gridSpan w:val="2"/>
            <w:tcBorders>
              <w:top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jc w:val="center"/>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150 l</w:t>
            </w:r>
          </w:p>
        </w:tc>
        <w:tc>
          <w:tcPr>
            <w:tcW w:w="622" w:type="dxa"/>
            <w:tcBorders>
              <w:bottom w:val="single" w:sz="8"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703" w:type="dxa"/>
            <w:tcBorders>
              <w:bottom w:val="single" w:sz="8"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bottom w:val="single" w:sz="8"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SP92-28-007</w:t>
            </w:r>
          </w:p>
        </w:tc>
        <w:tc>
          <w:tcPr>
            <w:tcW w:w="2297" w:type="dxa"/>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Rozbočovač k nádrži</w:t>
            </w:r>
          </w:p>
        </w:tc>
        <w:tc>
          <w:tcPr>
            <w:tcW w:w="2753" w:type="dxa"/>
            <w:gridSpan w:val="3"/>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1" (1/4-3/8-3/8)</w:t>
            </w:r>
          </w:p>
        </w:tc>
        <w:tc>
          <w:tcPr>
            <w:tcW w:w="837" w:type="dxa"/>
            <w:tcBorders>
              <w:top w:val="single" w:sz="8"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AQ3RP1</w:t>
            </w:r>
          </w:p>
        </w:tc>
        <w:tc>
          <w:tcPr>
            <w:tcW w:w="1901" w:type="dxa"/>
            <w:gridSpan w:val="2"/>
            <w:tcBorders>
              <w:top w:val="single" w:sz="8" w:space="0" w:color="000000"/>
              <w:bottom w:val="single" w:sz="4" w:space="0" w:color="000000"/>
              <w:right w:val="single" w:sz="4" w:space="0" w:color="000000"/>
            </w:tcBorders>
            <w:shd w:val="clear" w:color="auto" w:fill="FFFFCC"/>
            <w:vAlign w:val="center"/>
          </w:tcPr>
          <w:p w:rsidR="00287B1D" w:rsidRDefault="00BB6CB9">
            <w:pPr>
              <w:spacing w:after="0" w:line="240" w:lineRule="auto"/>
              <w:jc w:val="center"/>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Pro nádrže 35 l  a ↑</w:t>
            </w:r>
          </w:p>
        </w:tc>
        <w:tc>
          <w:tcPr>
            <w:tcW w:w="622" w:type="dxa"/>
            <w:tcBorders>
              <w:top w:val="single" w:sz="8" w:space="0" w:color="000000"/>
              <w:bottom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703" w:type="dxa"/>
            <w:tcBorders>
              <w:top w:val="single" w:sz="8" w:space="0" w:color="000000"/>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top w:val="single" w:sz="8"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SP92-28-008</w:t>
            </w:r>
          </w:p>
        </w:tc>
        <w:tc>
          <w:tcPr>
            <w:tcW w:w="229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Rozbočovač k nádrži</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1" (1/4-3/8-3/8-3/8)</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AQ3RP2</w:t>
            </w:r>
          </w:p>
        </w:tc>
        <w:tc>
          <w:tcPr>
            <w:tcW w:w="1901" w:type="dxa"/>
            <w:gridSpan w:val="2"/>
            <w:tcBorders>
              <w:top w:val="single" w:sz="4" w:space="0" w:color="000000"/>
              <w:bottom w:val="single" w:sz="4" w:space="0" w:color="000000"/>
              <w:right w:val="single" w:sz="4" w:space="0" w:color="000000"/>
            </w:tcBorders>
            <w:shd w:val="clear" w:color="auto" w:fill="FFFFCC"/>
            <w:vAlign w:val="center"/>
          </w:tcPr>
          <w:p w:rsidR="00287B1D" w:rsidRDefault="00BB6CB9">
            <w:pPr>
              <w:spacing w:after="0" w:line="240" w:lineRule="auto"/>
              <w:jc w:val="center"/>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Pro nádrže 35 l  a ↑</w:t>
            </w:r>
          </w:p>
        </w:tc>
        <w:tc>
          <w:tcPr>
            <w:tcW w:w="622" w:type="dxa"/>
            <w:tcBorders>
              <w:bottom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703"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SP92-28-009</w:t>
            </w:r>
          </w:p>
        </w:tc>
        <w:tc>
          <w:tcPr>
            <w:tcW w:w="229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Rozbočovač k nádrži</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sz w:val="12"/>
                <w:szCs w:val="12"/>
                <w:lang w:val="en-GB" w:eastAsia="en-GB"/>
              </w:rPr>
            </w:pPr>
            <w:r>
              <w:rPr>
                <w:rFonts w:ascii="Calibri" w:eastAsia="Times New Roman" w:hAnsi="Calibri" w:cs="Calibri"/>
                <w:sz w:val="12"/>
                <w:szCs w:val="12"/>
                <w:lang w:val="en-GB" w:eastAsia="en-GB"/>
              </w:rPr>
              <w:t>1" (1/4-3/8-3/8-3/8-3/8)</w:t>
            </w:r>
          </w:p>
        </w:tc>
        <w:tc>
          <w:tcPr>
            <w:tcW w:w="83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AQ3RP3</w:t>
            </w:r>
          </w:p>
        </w:tc>
        <w:tc>
          <w:tcPr>
            <w:tcW w:w="1901" w:type="dxa"/>
            <w:gridSpan w:val="2"/>
            <w:tcBorders>
              <w:top w:val="single" w:sz="4" w:space="0" w:color="000000"/>
              <w:bottom w:val="single" w:sz="4" w:space="0" w:color="000000"/>
              <w:right w:val="single" w:sz="4" w:space="0" w:color="000000"/>
            </w:tcBorders>
            <w:shd w:val="clear" w:color="auto" w:fill="FFFFCC"/>
            <w:vAlign w:val="center"/>
          </w:tcPr>
          <w:p w:rsidR="00287B1D" w:rsidRDefault="00BB6CB9">
            <w:pPr>
              <w:spacing w:after="0" w:line="240" w:lineRule="auto"/>
              <w:jc w:val="center"/>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Pro nádrže 35 l  a ↑</w:t>
            </w:r>
          </w:p>
        </w:tc>
        <w:tc>
          <w:tcPr>
            <w:tcW w:w="622" w:type="dxa"/>
            <w:tcBorders>
              <w:top w:val="single" w:sz="4" w:space="0" w:color="000000"/>
              <w:bottom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703" w:type="dxa"/>
            <w:tcBorders>
              <w:top w:val="single" w:sz="4" w:space="0" w:color="000000"/>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top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SP92-28-010</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Rozbočovač k nádrži</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sz w:val="12"/>
                <w:szCs w:val="12"/>
                <w:lang w:val="en-GB" w:eastAsia="en-GB"/>
              </w:rPr>
            </w:pPr>
            <w:r>
              <w:rPr>
                <w:rFonts w:ascii="Calibri" w:eastAsia="Times New Roman" w:hAnsi="Calibri" w:cs="Calibri"/>
                <w:sz w:val="12"/>
                <w:szCs w:val="12"/>
                <w:lang w:val="en-GB" w:eastAsia="en-GB"/>
              </w:rPr>
              <w:t>1"(1/4-3/8-3/8-3/8-1/2)</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AQ3RP4</w:t>
            </w:r>
          </w:p>
        </w:tc>
        <w:tc>
          <w:tcPr>
            <w:tcW w:w="1901" w:type="dxa"/>
            <w:gridSpan w:val="2"/>
            <w:tcBorders>
              <w:top w:val="single" w:sz="4" w:space="0" w:color="000000"/>
              <w:bottom w:val="single" w:sz="4" w:space="0" w:color="000000"/>
              <w:right w:val="single" w:sz="4" w:space="0" w:color="000000"/>
            </w:tcBorders>
            <w:shd w:val="clear" w:color="auto" w:fill="FFFFCC"/>
            <w:vAlign w:val="center"/>
          </w:tcPr>
          <w:p w:rsidR="00287B1D" w:rsidRDefault="00BB6CB9">
            <w:pPr>
              <w:spacing w:after="0" w:line="240" w:lineRule="auto"/>
              <w:jc w:val="center"/>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Pro nádrže 35 l  a ↑</w:t>
            </w:r>
          </w:p>
        </w:tc>
        <w:tc>
          <w:tcPr>
            <w:tcW w:w="622" w:type="dxa"/>
            <w:tcBorders>
              <w:bottom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703"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SP92-28-011</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Rozbočovač k nádrži</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sz w:val="12"/>
                <w:szCs w:val="12"/>
                <w:lang w:val="en-GB" w:eastAsia="en-GB"/>
              </w:rPr>
            </w:pPr>
            <w:r>
              <w:rPr>
                <w:rFonts w:ascii="Calibri" w:eastAsia="Times New Roman" w:hAnsi="Calibri" w:cs="Calibri"/>
                <w:sz w:val="12"/>
                <w:szCs w:val="12"/>
                <w:lang w:val="en-GB" w:eastAsia="en-GB"/>
              </w:rPr>
              <w:t>1"(1/4-3/8-3/8-1/2-1/2)</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AQ3RP5</w:t>
            </w:r>
          </w:p>
        </w:tc>
        <w:tc>
          <w:tcPr>
            <w:tcW w:w="1901" w:type="dxa"/>
            <w:gridSpan w:val="2"/>
            <w:tcBorders>
              <w:top w:val="single" w:sz="4" w:space="0" w:color="000000"/>
              <w:bottom w:val="single" w:sz="4" w:space="0" w:color="000000"/>
              <w:right w:val="single" w:sz="4" w:space="0" w:color="000000"/>
            </w:tcBorders>
            <w:shd w:val="clear" w:color="auto" w:fill="FFFFCC"/>
            <w:vAlign w:val="center"/>
          </w:tcPr>
          <w:p w:rsidR="00287B1D" w:rsidRDefault="00BB6CB9">
            <w:pPr>
              <w:spacing w:after="0" w:line="240" w:lineRule="auto"/>
              <w:jc w:val="center"/>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Pro nádrže 35 l  a ↑</w:t>
            </w:r>
          </w:p>
        </w:tc>
        <w:tc>
          <w:tcPr>
            <w:tcW w:w="622" w:type="dxa"/>
            <w:tcBorders>
              <w:bottom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703"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SP92-28-012</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Rozbočovač k nádrži</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sz w:val="12"/>
                <w:szCs w:val="12"/>
                <w:lang w:val="en-GB" w:eastAsia="en-GB"/>
              </w:rPr>
            </w:pPr>
            <w:r>
              <w:rPr>
                <w:rFonts w:ascii="Calibri" w:eastAsia="Times New Roman" w:hAnsi="Calibri" w:cs="Calibri"/>
                <w:sz w:val="12"/>
                <w:szCs w:val="12"/>
                <w:lang w:val="en-GB" w:eastAsia="en-GB"/>
              </w:rPr>
              <w:t>3/8"(1/4-3/8-3/8)</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AQ3RP6</w:t>
            </w:r>
          </w:p>
        </w:tc>
        <w:tc>
          <w:tcPr>
            <w:tcW w:w="1901" w:type="dxa"/>
            <w:gridSpan w:val="2"/>
            <w:tcBorders>
              <w:top w:val="single" w:sz="4" w:space="0" w:color="000000"/>
              <w:bottom w:val="single" w:sz="4" w:space="0" w:color="000000"/>
              <w:right w:val="single" w:sz="4" w:space="0" w:color="000000"/>
            </w:tcBorders>
            <w:shd w:val="clear" w:color="auto" w:fill="FFFFCC"/>
            <w:vAlign w:val="center"/>
          </w:tcPr>
          <w:p w:rsidR="00287B1D" w:rsidRDefault="00BB6CB9">
            <w:pPr>
              <w:spacing w:after="0" w:line="240" w:lineRule="auto"/>
              <w:jc w:val="center"/>
              <w:rPr>
                <w:rFonts w:ascii="Calibri" w:eastAsia="Times New Roman" w:hAnsi="Calibri" w:cs="Calibri"/>
                <w:sz w:val="12"/>
                <w:szCs w:val="12"/>
                <w:lang w:val="en-GB" w:eastAsia="en-GB"/>
              </w:rPr>
            </w:pPr>
            <w:r>
              <w:rPr>
                <w:rFonts w:ascii="Calibri" w:eastAsia="Times New Roman" w:hAnsi="Calibri" w:cs="Calibri"/>
                <w:sz w:val="12"/>
                <w:szCs w:val="12"/>
                <w:lang w:val="en-GB" w:eastAsia="en-GB"/>
              </w:rPr>
              <w:t>Pro nádrže 12 l  a ↑</w:t>
            </w:r>
          </w:p>
        </w:tc>
        <w:tc>
          <w:tcPr>
            <w:tcW w:w="622" w:type="dxa"/>
            <w:tcBorders>
              <w:bottom w:val="single" w:sz="4" w:space="0" w:color="000000"/>
            </w:tcBorders>
            <w:shd w:val="clear" w:color="auto" w:fill="auto"/>
            <w:vAlign w:val="center"/>
          </w:tcPr>
          <w:p w:rsidR="00287B1D" w:rsidRDefault="00BB6CB9">
            <w:pPr>
              <w:spacing w:after="0" w:line="240" w:lineRule="auto"/>
              <w:rPr>
                <w:rFonts w:ascii="Calibri" w:eastAsia="Times New Roman" w:hAnsi="Calibri" w:cs="Calibri"/>
                <w:sz w:val="12"/>
                <w:szCs w:val="12"/>
                <w:lang w:val="en-GB" w:eastAsia="en-GB"/>
              </w:rPr>
            </w:pPr>
            <w:r>
              <w:rPr>
                <w:rFonts w:ascii="Calibri" w:eastAsia="Times New Roman" w:hAnsi="Calibri" w:cs="Calibri"/>
                <w:sz w:val="12"/>
                <w:szCs w:val="12"/>
                <w:lang w:val="en-GB" w:eastAsia="en-GB"/>
              </w:rPr>
              <w:t> </w:t>
            </w:r>
          </w:p>
        </w:tc>
        <w:tc>
          <w:tcPr>
            <w:tcW w:w="703"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SP92-28-013</w:t>
            </w:r>
          </w:p>
        </w:tc>
        <w:tc>
          <w:tcPr>
            <w:tcW w:w="229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Rozbočovač k nádrži</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sz w:val="12"/>
                <w:szCs w:val="12"/>
                <w:lang w:val="en-GB" w:eastAsia="en-GB"/>
              </w:rPr>
            </w:pPr>
            <w:r>
              <w:rPr>
                <w:rFonts w:ascii="Calibri" w:eastAsia="Times New Roman" w:hAnsi="Calibri" w:cs="Calibri"/>
                <w:sz w:val="12"/>
                <w:szCs w:val="12"/>
                <w:lang w:val="en-GB" w:eastAsia="en-GB"/>
              </w:rPr>
              <w:t>3/8"(1/4-3/8-3/8-3/8)</w:t>
            </w:r>
          </w:p>
        </w:tc>
        <w:tc>
          <w:tcPr>
            <w:tcW w:w="83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AQ3RP7</w:t>
            </w:r>
          </w:p>
        </w:tc>
        <w:tc>
          <w:tcPr>
            <w:tcW w:w="1901" w:type="dxa"/>
            <w:gridSpan w:val="2"/>
            <w:tcBorders>
              <w:top w:val="single" w:sz="4" w:space="0" w:color="000000"/>
              <w:bottom w:val="single" w:sz="4" w:space="0" w:color="000000"/>
              <w:right w:val="single" w:sz="4" w:space="0" w:color="000000"/>
            </w:tcBorders>
            <w:shd w:val="clear" w:color="auto" w:fill="FFFFCC"/>
            <w:vAlign w:val="center"/>
          </w:tcPr>
          <w:p w:rsidR="00287B1D" w:rsidRDefault="00BB6CB9">
            <w:pPr>
              <w:spacing w:after="0" w:line="240" w:lineRule="auto"/>
              <w:jc w:val="center"/>
              <w:rPr>
                <w:rFonts w:ascii="Calibri" w:eastAsia="Times New Roman" w:hAnsi="Calibri" w:cs="Calibri"/>
                <w:sz w:val="12"/>
                <w:szCs w:val="12"/>
                <w:lang w:val="en-GB" w:eastAsia="en-GB"/>
              </w:rPr>
            </w:pPr>
            <w:r>
              <w:rPr>
                <w:rFonts w:ascii="Calibri" w:eastAsia="Times New Roman" w:hAnsi="Calibri" w:cs="Calibri"/>
                <w:sz w:val="12"/>
                <w:szCs w:val="12"/>
                <w:lang w:val="en-GB" w:eastAsia="en-GB"/>
              </w:rPr>
              <w:t>Pro nádrže 12 l  a ↑</w:t>
            </w:r>
          </w:p>
        </w:tc>
        <w:tc>
          <w:tcPr>
            <w:tcW w:w="622" w:type="dxa"/>
            <w:tcBorders>
              <w:top w:val="single" w:sz="4" w:space="0" w:color="000000"/>
              <w:bottom w:val="single" w:sz="4" w:space="0" w:color="000000"/>
            </w:tcBorders>
            <w:shd w:val="clear" w:color="auto" w:fill="auto"/>
            <w:vAlign w:val="center"/>
          </w:tcPr>
          <w:p w:rsidR="00287B1D" w:rsidRDefault="00BB6CB9">
            <w:pPr>
              <w:spacing w:after="0" w:line="240" w:lineRule="auto"/>
              <w:rPr>
                <w:rFonts w:ascii="Calibri" w:eastAsia="Times New Roman" w:hAnsi="Calibri" w:cs="Calibri"/>
                <w:sz w:val="12"/>
                <w:szCs w:val="12"/>
                <w:lang w:val="en-GB" w:eastAsia="en-GB"/>
              </w:rPr>
            </w:pPr>
            <w:r>
              <w:rPr>
                <w:rFonts w:ascii="Calibri" w:eastAsia="Times New Roman" w:hAnsi="Calibri" w:cs="Calibri"/>
                <w:sz w:val="12"/>
                <w:szCs w:val="12"/>
                <w:lang w:val="en-GB" w:eastAsia="en-GB"/>
              </w:rPr>
              <w:t> </w:t>
            </w:r>
          </w:p>
        </w:tc>
        <w:tc>
          <w:tcPr>
            <w:tcW w:w="703" w:type="dxa"/>
            <w:tcBorders>
              <w:top w:val="single" w:sz="4" w:space="0" w:color="000000"/>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top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SP92-28-014</w:t>
            </w:r>
          </w:p>
        </w:tc>
        <w:tc>
          <w:tcPr>
            <w:tcW w:w="2297" w:type="dxa"/>
            <w:tcBorders>
              <w:top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Rozbočovač k nádrži</w:t>
            </w:r>
          </w:p>
        </w:tc>
        <w:tc>
          <w:tcPr>
            <w:tcW w:w="2753" w:type="dxa"/>
            <w:gridSpan w:val="3"/>
            <w:tcBorders>
              <w:top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sz w:val="12"/>
                <w:szCs w:val="12"/>
                <w:lang w:val="en-GB" w:eastAsia="en-GB"/>
              </w:rPr>
            </w:pPr>
            <w:r>
              <w:rPr>
                <w:rFonts w:ascii="Calibri" w:eastAsia="Times New Roman" w:hAnsi="Calibri" w:cs="Calibri"/>
                <w:sz w:val="12"/>
                <w:szCs w:val="12"/>
                <w:lang w:val="en-GB" w:eastAsia="en-GB"/>
              </w:rPr>
              <w:t>3/8"(1/4-3/8-3/8-3/8-3/8)</w:t>
            </w:r>
          </w:p>
        </w:tc>
        <w:tc>
          <w:tcPr>
            <w:tcW w:w="837" w:type="dxa"/>
            <w:tcBorders>
              <w:top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AQ3RP8</w:t>
            </w:r>
          </w:p>
        </w:tc>
        <w:tc>
          <w:tcPr>
            <w:tcW w:w="1901" w:type="dxa"/>
            <w:gridSpan w:val="2"/>
            <w:tcBorders>
              <w:top w:val="single" w:sz="4" w:space="0" w:color="000000"/>
              <w:bottom w:val="single" w:sz="8" w:space="0" w:color="000000"/>
              <w:right w:val="single" w:sz="4" w:space="0" w:color="000000"/>
            </w:tcBorders>
            <w:shd w:val="clear" w:color="auto" w:fill="FFFFCC"/>
            <w:vAlign w:val="center"/>
          </w:tcPr>
          <w:p w:rsidR="00287B1D" w:rsidRDefault="00BB6CB9">
            <w:pPr>
              <w:spacing w:after="0" w:line="240" w:lineRule="auto"/>
              <w:jc w:val="center"/>
              <w:rPr>
                <w:rFonts w:ascii="Calibri" w:eastAsia="Times New Roman" w:hAnsi="Calibri" w:cs="Calibri"/>
                <w:sz w:val="12"/>
                <w:szCs w:val="12"/>
                <w:lang w:val="en-GB" w:eastAsia="en-GB"/>
              </w:rPr>
            </w:pPr>
            <w:r>
              <w:rPr>
                <w:rFonts w:ascii="Calibri" w:eastAsia="Times New Roman" w:hAnsi="Calibri" w:cs="Calibri"/>
                <w:sz w:val="12"/>
                <w:szCs w:val="12"/>
                <w:lang w:val="en-GB" w:eastAsia="en-GB"/>
              </w:rPr>
              <w:t>Pro nádrže 12 l  a ↑</w:t>
            </w:r>
          </w:p>
        </w:tc>
        <w:tc>
          <w:tcPr>
            <w:tcW w:w="622" w:type="dxa"/>
            <w:tcBorders>
              <w:top w:val="single" w:sz="4" w:space="0" w:color="000000"/>
              <w:bottom w:val="single" w:sz="8" w:space="0" w:color="000000"/>
            </w:tcBorders>
            <w:shd w:val="clear" w:color="auto" w:fill="auto"/>
            <w:vAlign w:val="center"/>
          </w:tcPr>
          <w:p w:rsidR="00287B1D" w:rsidRDefault="00BB6CB9">
            <w:pPr>
              <w:spacing w:after="0" w:line="240" w:lineRule="auto"/>
              <w:rPr>
                <w:rFonts w:ascii="Calibri" w:eastAsia="Times New Roman" w:hAnsi="Calibri" w:cs="Calibri"/>
                <w:sz w:val="12"/>
                <w:szCs w:val="12"/>
                <w:lang w:val="en-GB" w:eastAsia="en-GB"/>
              </w:rPr>
            </w:pPr>
            <w:r>
              <w:rPr>
                <w:rFonts w:ascii="Calibri" w:eastAsia="Times New Roman" w:hAnsi="Calibri" w:cs="Calibri"/>
                <w:sz w:val="12"/>
                <w:szCs w:val="12"/>
                <w:lang w:val="en-GB" w:eastAsia="en-GB"/>
              </w:rPr>
              <w:t> </w:t>
            </w:r>
          </w:p>
        </w:tc>
        <w:tc>
          <w:tcPr>
            <w:tcW w:w="703" w:type="dxa"/>
            <w:tcBorders>
              <w:top w:val="single" w:sz="4" w:space="0" w:color="000000"/>
              <w:bottom w:val="single" w:sz="8"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top w:val="single" w:sz="4" w:space="0" w:color="000000"/>
              <w:bottom w:val="single" w:sz="8"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color w:val="FF0000"/>
                <w:sz w:val="12"/>
                <w:szCs w:val="12"/>
                <w:lang w:val="en-GB" w:eastAsia="en-GB"/>
              </w:rPr>
            </w:pPr>
            <w:r>
              <w:rPr>
                <w:rFonts w:ascii="Calibri" w:eastAsia="Times New Roman" w:hAnsi="Calibri" w:cs="Calibri"/>
                <w:b/>
                <w:bCs/>
                <w:sz w:val="12"/>
                <w:szCs w:val="12"/>
                <w:lang w:val="en-GB" w:eastAsia="en-GB"/>
              </w:rPr>
              <w:t>111-000</w:t>
            </w:r>
          </w:p>
        </w:tc>
        <w:tc>
          <w:tcPr>
            <w:tcW w:w="2297" w:type="dxa"/>
            <w:tcBorders>
              <w:top w:val="single" w:sz="8" w:space="0" w:color="000000"/>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b/>
                <w:bCs/>
                <w:color w:val="000000"/>
                <w:sz w:val="14"/>
                <w:szCs w:val="14"/>
                <w:lang w:val="en-GB" w:eastAsia="en-GB"/>
              </w:rPr>
            </w:pPr>
            <w:r>
              <w:rPr>
                <w:rFonts w:ascii="Calibri" w:eastAsia="Times New Roman" w:hAnsi="Calibri" w:cs="Calibri"/>
                <w:b/>
                <w:color w:val="000000"/>
                <w:sz w:val="14"/>
                <w:szCs w:val="14"/>
                <w:lang w:eastAsia="cs-CZ"/>
              </w:rPr>
              <w:t>AQ3 Mini - Basic</w:t>
            </w:r>
            <w:r>
              <w:rPr>
                <w:rFonts w:ascii="Calibri" w:eastAsia="Times New Roman" w:hAnsi="Calibri" w:cs="Calibri"/>
                <w:b/>
                <w:bCs/>
                <w:color w:val="000000"/>
                <w:sz w:val="14"/>
                <w:szCs w:val="14"/>
                <w:vertAlign w:val="superscript"/>
                <w:lang w:val="en-GB" w:eastAsia="en-GB"/>
              </w:rPr>
              <w:t xml:space="preserve"> 11)</w:t>
            </w:r>
          </w:p>
        </w:tc>
        <w:tc>
          <w:tcPr>
            <w:tcW w:w="2753" w:type="dxa"/>
            <w:gridSpan w:val="3"/>
            <w:tcBorders>
              <w:top w:val="single" w:sz="8"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000000"/>
                <w:sz w:val="12"/>
                <w:szCs w:val="12"/>
                <w:lang w:val="en-GB" w:eastAsia="en-GB"/>
              </w:rPr>
            </w:pPr>
            <w:r>
              <w:rPr>
                <w:rFonts w:ascii="Calibri" w:eastAsia="Times New Roman" w:hAnsi="Calibri" w:cs="Calibri"/>
                <w:b/>
                <w:bCs/>
                <w:color w:val="000000"/>
                <w:sz w:val="12"/>
                <w:szCs w:val="12"/>
                <w:lang w:val="en-GB" w:eastAsia="en-GB"/>
              </w:rPr>
              <w:t>Tvrdá voda-změkčení</w:t>
            </w:r>
            <w:r>
              <w:rPr>
                <w:rFonts w:ascii="Calibri" w:eastAsia="Times New Roman" w:hAnsi="Calibri" w:cs="Calibri"/>
                <w:color w:val="000000"/>
                <w:sz w:val="12"/>
                <w:szCs w:val="12"/>
                <w:vertAlign w:val="superscript"/>
                <w:lang w:val="en-GB" w:eastAsia="en-GB"/>
              </w:rPr>
              <w:t>12)</w:t>
            </w:r>
          </w:p>
        </w:tc>
        <w:tc>
          <w:tcPr>
            <w:tcW w:w="837" w:type="dxa"/>
            <w:tcBorders>
              <w:top w:val="single" w:sz="8"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PPC2</w:t>
            </w:r>
            <w:r>
              <w:rPr>
                <w:rFonts w:ascii="Calibri" w:eastAsia="Times New Roman" w:hAnsi="Calibri" w:cs="Calibri"/>
                <w:color w:val="000000"/>
                <w:sz w:val="12"/>
                <w:szCs w:val="12"/>
                <w:vertAlign w:val="superscript"/>
                <w:lang w:val="en-GB" w:eastAsia="en-GB"/>
              </w:rPr>
              <w:t>2)</w:t>
            </w:r>
          </w:p>
        </w:tc>
        <w:tc>
          <w:tcPr>
            <w:tcW w:w="1901" w:type="dxa"/>
            <w:gridSpan w:val="2"/>
            <w:tcBorders>
              <w:top w:val="single" w:sz="8"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Ca + Mg   ↓</w:t>
            </w:r>
          </w:p>
        </w:tc>
        <w:tc>
          <w:tcPr>
            <w:tcW w:w="622" w:type="dxa"/>
            <w:tcBorders>
              <w:top w:val="single" w:sz="8" w:space="0" w:color="000000"/>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r>
              <w:rPr>
                <w:rFonts w:ascii="Calibri" w:eastAsia="Times New Roman" w:hAnsi="Calibri" w:cs="Calibri"/>
                <w:b/>
                <w:bCs/>
                <w:color w:val="1F497D"/>
                <w:sz w:val="12"/>
                <w:szCs w:val="12"/>
                <w:lang w:val="en-GB" w:eastAsia="en-GB"/>
              </w:rPr>
              <w:t>úprava vody z VVŘ</w:t>
            </w:r>
          </w:p>
        </w:tc>
        <w:tc>
          <w:tcPr>
            <w:tcW w:w="703" w:type="dxa"/>
            <w:tcBorders>
              <w:top w:val="single" w:sz="8" w:space="0" w:color="000000"/>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top w:val="single" w:sz="8"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112-000</w:t>
            </w:r>
          </w:p>
        </w:tc>
        <w:tc>
          <w:tcPr>
            <w:tcW w:w="229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eastAsia="cs-CZ"/>
              </w:rPr>
              <w:t>AQ3 Mini – Basic</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Odstranění Arzenu</w:t>
            </w:r>
            <w:r>
              <w:rPr>
                <w:rFonts w:ascii="Calibri" w:eastAsia="Times New Roman" w:hAnsi="Calibri" w:cs="Calibri"/>
                <w:color w:val="000000"/>
                <w:sz w:val="12"/>
                <w:szCs w:val="12"/>
                <w:vertAlign w:val="superscript"/>
                <w:lang w:val="en-GB" w:eastAsia="en-GB"/>
              </w:rPr>
              <w:t>12)</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LT60</w:t>
            </w:r>
            <w:r>
              <w:rPr>
                <w:rFonts w:ascii="Calibri" w:eastAsia="Times New Roman" w:hAnsi="Calibri" w:cs="Calibri"/>
                <w:color w:val="000000"/>
                <w:sz w:val="12"/>
                <w:szCs w:val="12"/>
                <w:vertAlign w:val="superscript"/>
                <w:lang w:val="en-GB" w:eastAsia="en-GB"/>
              </w:rPr>
              <w:t>1)</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As   ↓</w:t>
            </w:r>
          </w:p>
        </w:tc>
        <w:tc>
          <w:tcPr>
            <w:tcW w:w="622"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703"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113-000</w:t>
            </w:r>
          </w:p>
        </w:tc>
        <w:tc>
          <w:tcPr>
            <w:tcW w:w="229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eastAsia="cs-CZ"/>
              </w:rPr>
              <w:t>AQ3 Mini – Basic</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Odstranění zákalu NTU</w:t>
            </w:r>
            <w:r>
              <w:rPr>
                <w:rFonts w:ascii="Calibri" w:eastAsia="Times New Roman" w:hAnsi="Calibri" w:cs="Calibri"/>
                <w:color w:val="000000"/>
                <w:sz w:val="12"/>
                <w:szCs w:val="12"/>
                <w:vertAlign w:val="superscript"/>
                <w:lang w:val="en-GB" w:eastAsia="en-GB"/>
              </w:rPr>
              <w:t>12)</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SNT-X</w:t>
            </w:r>
            <w:r>
              <w:rPr>
                <w:rFonts w:ascii="Calibri" w:eastAsia="Times New Roman" w:hAnsi="Calibri" w:cs="Calibri"/>
                <w:color w:val="000000"/>
                <w:sz w:val="12"/>
                <w:szCs w:val="12"/>
                <w:vertAlign w:val="superscript"/>
                <w:lang w:val="en-GB" w:eastAsia="en-GB"/>
              </w:rPr>
              <w:t>8)</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MF/UF   ↓</w:t>
            </w:r>
          </w:p>
        </w:tc>
        <w:tc>
          <w:tcPr>
            <w:tcW w:w="622"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703" w:type="dxa"/>
            <w:tcBorders>
              <w:bottom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842" w:type="dxa"/>
            <w:gridSpan w:val="3"/>
            <w:tcBorders>
              <w:bottom w:val="single" w:sz="4" w:space="0" w:color="000000"/>
              <w:right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114-000</w:t>
            </w:r>
          </w:p>
        </w:tc>
        <w:tc>
          <w:tcPr>
            <w:tcW w:w="229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eastAsia="cs-CZ"/>
              </w:rPr>
              <w:t>AQ3 Mini – Basic</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Železo a mangan-snížení</w:t>
            </w:r>
            <w:r>
              <w:rPr>
                <w:rFonts w:ascii="Calibri" w:eastAsia="Times New Roman" w:hAnsi="Calibri" w:cs="Calibri"/>
                <w:color w:val="000000"/>
                <w:sz w:val="12"/>
                <w:szCs w:val="12"/>
                <w:vertAlign w:val="superscript"/>
                <w:lang w:val="en-GB" w:eastAsia="en-GB"/>
              </w:rPr>
              <w:t>12)</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ECM_P</w:t>
            </w:r>
            <w:r>
              <w:rPr>
                <w:rFonts w:ascii="Calibri" w:eastAsia="Times New Roman" w:hAnsi="Calibri" w:cs="Calibri"/>
                <w:color w:val="000000"/>
                <w:sz w:val="12"/>
                <w:szCs w:val="12"/>
                <w:vertAlign w:val="superscript"/>
                <w:lang w:val="en-GB" w:eastAsia="en-GB"/>
              </w:rPr>
              <w:t>3)</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Fe + Mn   ↓</w:t>
            </w:r>
          </w:p>
        </w:tc>
        <w:tc>
          <w:tcPr>
            <w:tcW w:w="622"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703"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bottom w:val="single" w:sz="4" w:space="0" w:color="000000"/>
              <w:right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lastRenderedPageBreak/>
              <w:t>115-000</w:t>
            </w:r>
          </w:p>
        </w:tc>
        <w:tc>
          <w:tcPr>
            <w:tcW w:w="229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eastAsia="cs-CZ"/>
              </w:rPr>
              <w:t>AQ3 Mini – Basic</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Vápník, Hořčík, Železo, Amoniak-snížení</w:t>
            </w:r>
            <w:r>
              <w:rPr>
                <w:rFonts w:ascii="Calibri" w:eastAsia="Times New Roman" w:hAnsi="Calibri" w:cs="Calibri"/>
                <w:color w:val="000000"/>
                <w:sz w:val="12"/>
                <w:szCs w:val="12"/>
                <w:vertAlign w:val="superscript"/>
                <w:lang w:val="en-GB" w:eastAsia="en-GB"/>
              </w:rPr>
              <w:t>12)</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ECM_A</w:t>
            </w:r>
            <w:r>
              <w:rPr>
                <w:rFonts w:ascii="Calibri" w:eastAsia="Times New Roman" w:hAnsi="Calibri" w:cs="Calibri"/>
                <w:color w:val="000000"/>
                <w:sz w:val="12"/>
                <w:szCs w:val="12"/>
                <w:vertAlign w:val="superscript"/>
                <w:lang w:val="en-GB" w:eastAsia="en-GB"/>
              </w:rPr>
              <w:t>4)</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Ca, Mg, Fe, NH4</w:t>
            </w:r>
            <w:r>
              <w:rPr>
                <w:rFonts w:ascii="Calibri" w:eastAsia="Times New Roman" w:hAnsi="Calibri" w:cs="Calibri"/>
                <w:color w:val="000000"/>
                <w:sz w:val="12"/>
                <w:szCs w:val="12"/>
                <w:vertAlign w:val="superscript"/>
                <w:lang w:val="en-GB" w:eastAsia="en-GB"/>
              </w:rPr>
              <w:t xml:space="preserve">+   </w:t>
            </w:r>
            <w:r>
              <w:rPr>
                <w:rFonts w:ascii="Calibri" w:eastAsia="Times New Roman" w:hAnsi="Calibri" w:cs="Calibri"/>
                <w:color w:val="000000"/>
                <w:sz w:val="12"/>
                <w:szCs w:val="12"/>
                <w:lang w:val="en-GB" w:eastAsia="en-GB"/>
              </w:rPr>
              <w:t>↓</w:t>
            </w:r>
          </w:p>
        </w:tc>
        <w:tc>
          <w:tcPr>
            <w:tcW w:w="622"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703"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116-000</w:t>
            </w:r>
          </w:p>
        </w:tc>
        <w:tc>
          <w:tcPr>
            <w:tcW w:w="229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eastAsia="cs-CZ"/>
              </w:rPr>
              <w:t>AQ3 Mini – Basic</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Stabilizace pH+</w:t>
            </w:r>
            <w:r>
              <w:rPr>
                <w:rFonts w:ascii="Calibri" w:eastAsia="Times New Roman" w:hAnsi="Calibri" w:cs="Calibri"/>
                <w:color w:val="000000"/>
                <w:sz w:val="12"/>
                <w:szCs w:val="12"/>
                <w:vertAlign w:val="superscript"/>
                <w:lang w:val="en-GB" w:eastAsia="en-GB"/>
              </w:rPr>
              <w:t>12)</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CRS_X</w:t>
            </w:r>
            <w:r>
              <w:rPr>
                <w:rFonts w:ascii="Calibri" w:eastAsia="Times New Roman" w:hAnsi="Calibri" w:cs="Calibri"/>
                <w:color w:val="000000"/>
                <w:sz w:val="12"/>
                <w:szCs w:val="12"/>
                <w:vertAlign w:val="superscript"/>
                <w:lang w:val="en-GB" w:eastAsia="en-GB"/>
              </w:rPr>
              <w:t>5)</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373A3C"/>
                <w:sz w:val="12"/>
                <w:szCs w:val="12"/>
                <w:lang w:val="en-GB" w:eastAsia="en-GB"/>
              </w:rPr>
            </w:pPr>
            <w:r>
              <w:rPr>
                <w:rFonts w:ascii="Calibri" w:eastAsia="Times New Roman" w:hAnsi="Calibri" w:cs="Calibri"/>
                <w:color w:val="373A3C"/>
                <w:sz w:val="12"/>
                <w:szCs w:val="12"/>
                <w:lang w:val="en-GB" w:eastAsia="en-GB"/>
              </w:rPr>
              <w:t>MgO; 4,5 - 6,0   ↑</w:t>
            </w:r>
          </w:p>
        </w:tc>
        <w:tc>
          <w:tcPr>
            <w:tcW w:w="622"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703"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117-000</w:t>
            </w:r>
          </w:p>
        </w:tc>
        <w:tc>
          <w:tcPr>
            <w:tcW w:w="229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eastAsia="cs-CZ"/>
              </w:rPr>
              <w:t>AQ3 Mini – Basic</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Stabilizace pH++</w:t>
            </w:r>
            <w:r>
              <w:rPr>
                <w:rFonts w:ascii="Calibri" w:eastAsia="Times New Roman" w:hAnsi="Calibri" w:cs="Calibri"/>
                <w:color w:val="000000"/>
                <w:sz w:val="12"/>
                <w:szCs w:val="12"/>
                <w:vertAlign w:val="superscript"/>
                <w:lang w:val="en-GB" w:eastAsia="en-GB"/>
              </w:rPr>
              <w:t>12)</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CCT_E</w:t>
            </w:r>
            <w:r>
              <w:rPr>
                <w:rFonts w:ascii="Calibri" w:eastAsia="Times New Roman" w:hAnsi="Calibri" w:cs="Calibri"/>
                <w:color w:val="000000"/>
                <w:sz w:val="12"/>
                <w:szCs w:val="12"/>
                <w:vertAlign w:val="superscript"/>
                <w:lang w:val="en-GB" w:eastAsia="en-GB"/>
              </w:rPr>
              <w:t>6)</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373A3C"/>
                <w:sz w:val="12"/>
                <w:szCs w:val="12"/>
                <w:lang w:val="en-GB" w:eastAsia="en-GB"/>
              </w:rPr>
            </w:pPr>
            <w:r>
              <w:rPr>
                <w:rFonts w:ascii="Calibri" w:eastAsia="Times New Roman" w:hAnsi="Calibri" w:cs="Calibri"/>
                <w:color w:val="373A3C"/>
                <w:sz w:val="12"/>
                <w:szCs w:val="12"/>
                <w:lang w:val="en-GB" w:eastAsia="en-GB"/>
              </w:rPr>
              <w:t>CaCO</w:t>
            </w:r>
            <w:r>
              <w:rPr>
                <w:rFonts w:ascii="Calibri" w:eastAsia="Times New Roman" w:hAnsi="Calibri" w:cs="Calibri"/>
                <w:color w:val="373A3C"/>
                <w:sz w:val="12"/>
                <w:szCs w:val="12"/>
                <w:vertAlign w:val="subscript"/>
                <w:lang w:val="en-GB" w:eastAsia="en-GB"/>
              </w:rPr>
              <w:t>3</w:t>
            </w:r>
            <w:r>
              <w:rPr>
                <w:rFonts w:ascii="Calibri" w:eastAsia="Times New Roman" w:hAnsi="Calibri" w:cs="Calibri"/>
                <w:color w:val="373A3C"/>
                <w:sz w:val="12"/>
                <w:szCs w:val="12"/>
                <w:lang w:val="en-GB" w:eastAsia="en-GB"/>
              </w:rPr>
              <w:t>, MgCO</w:t>
            </w:r>
            <w:r>
              <w:rPr>
                <w:rFonts w:ascii="Calibri" w:eastAsia="Times New Roman" w:hAnsi="Calibri" w:cs="Calibri"/>
                <w:color w:val="373A3C"/>
                <w:sz w:val="12"/>
                <w:szCs w:val="12"/>
                <w:vertAlign w:val="subscript"/>
                <w:lang w:val="en-GB" w:eastAsia="en-GB"/>
              </w:rPr>
              <w:t>3</w:t>
            </w:r>
            <w:r>
              <w:rPr>
                <w:rFonts w:ascii="Calibri" w:eastAsia="Times New Roman" w:hAnsi="Calibri" w:cs="Calibri"/>
                <w:color w:val="373A3C"/>
                <w:sz w:val="12"/>
                <w:szCs w:val="12"/>
                <w:lang w:val="en-GB" w:eastAsia="en-GB"/>
              </w:rPr>
              <w:t>;</w:t>
            </w:r>
            <w:r>
              <w:rPr>
                <w:rFonts w:ascii="Calibri" w:eastAsia="Times New Roman" w:hAnsi="Calibri" w:cs="Calibri"/>
                <w:color w:val="373A3C"/>
                <w:sz w:val="12"/>
                <w:szCs w:val="12"/>
                <w:vertAlign w:val="subscript"/>
                <w:lang w:val="en-GB" w:eastAsia="en-GB"/>
              </w:rPr>
              <w:t xml:space="preserve"> </w:t>
            </w:r>
            <w:r>
              <w:rPr>
                <w:rFonts w:ascii="Calibri" w:eastAsia="Times New Roman" w:hAnsi="Calibri" w:cs="Calibri"/>
                <w:color w:val="373A3C"/>
                <w:sz w:val="12"/>
                <w:szCs w:val="12"/>
                <w:lang w:val="en-GB" w:eastAsia="en-GB"/>
              </w:rPr>
              <w:t>5,0 - 7,0   ↑</w:t>
            </w:r>
          </w:p>
        </w:tc>
        <w:tc>
          <w:tcPr>
            <w:tcW w:w="622"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703"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118-000</w:t>
            </w:r>
          </w:p>
        </w:tc>
        <w:tc>
          <w:tcPr>
            <w:tcW w:w="229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eastAsia="cs-CZ"/>
              </w:rPr>
              <w:t>AQ3 Mini – Basic</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Snížení  izotopů, nuklidů</w:t>
            </w:r>
            <w:r>
              <w:rPr>
                <w:rFonts w:ascii="Calibri" w:eastAsia="Times New Roman" w:hAnsi="Calibri" w:cs="Calibri"/>
                <w:color w:val="000000"/>
                <w:sz w:val="12"/>
                <w:szCs w:val="12"/>
                <w:vertAlign w:val="superscript"/>
                <w:lang w:val="en-GB" w:eastAsia="en-GB"/>
              </w:rPr>
              <w:t>12)</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TMC</w:t>
            </w:r>
            <w:r>
              <w:rPr>
                <w:rFonts w:ascii="Calibri" w:eastAsia="Times New Roman" w:hAnsi="Calibri" w:cs="Calibri"/>
                <w:color w:val="000000"/>
                <w:sz w:val="12"/>
                <w:szCs w:val="12"/>
                <w:vertAlign w:val="superscript"/>
                <w:lang w:val="en-GB" w:eastAsia="en-GB"/>
              </w:rPr>
              <w:t>9)</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SHG_ C70+  ↓</w:t>
            </w:r>
          </w:p>
        </w:tc>
        <w:tc>
          <w:tcPr>
            <w:tcW w:w="622"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703"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119-000</w:t>
            </w:r>
          </w:p>
        </w:tc>
        <w:tc>
          <w:tcPr>
            <w:tcW w:w="229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eastAsia="cs-CZ"/>
              </w:rPr>
              <w:t>AQ3 Mini – Basic</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Snížení dusičnanů</w:t>
            </w:r>
            <w:r>
              <w:rPr>
                <w:rFonts w:ascii="Calibri" w:eastAsia="Times New Roman" w:hAnsi="Calibri" w:cs="Calibri"/>
                <w:color w:val="000000"/>
                <w:sz w:val="12"/>
                <w:szCs w:val="12"/>
                <w:vertAlign w:val="superscript"/>
                <w:lang w:val="en-GB" w:eastAsia="en-GB"/>
              </w:rPr>
              <w:t>12)</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PPA2</w:t>
            </w:r>
            <w:r>
              <w:rPr>
                <w:rFonts w:ascii="Calibri" w:eastAsia="Times New Roman" w:hAnsi="Calibri" w:cs="Calibri"/>
                <w:color w:val="000000"/>
                <w:sz w:val="12"/>
                <w:szCs w:val="12"/>
                <w:vertAlign w:val="superscript"/>
                <w:lang w:val="en-GB" w:eastAsia="en-GB"/>
              </w:rPr>
              <w:t>10)</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color w:val="202124"/>
                <w:sz w:val="12"/>
                <w:szCs w:val="12"/>
                <w:lang w:val="en-GB" w:eastAsia="en-GB"/>
              </w:rPr>
            </w:pPr>
            <w:r>
              <w:rPr>
                <w:rFonts w:ascii="Calibri" w:eastAsia="Times New Roman" w:hAnsi="Calibri" w:cs="Calibri"/>
                <w:b/>
                <w:bCs/>
                <w:color w:val="202124"/>
                <w:sz w:val="12"/>
                <w:szCs w:val="12"/>
                <w:lang w:val="en-GB" w:eastAsia="en-GB"/>
              </w:rPr>
              <w:t> </w:t>
            </w:r>
            <w:r>
              <w:rPr>
                <w:rFonts w:ascii="Calibri" w:eastAsia="Times New Roman" w:hAnsi="Calibri" w:cs="Calibri"/>
                <w:color w:val="202124"/>
                <w:sz w:val="12"/>
                <w:szCs w:val="12"/>
                <w:lang w:val="en-GB" w:eastAsia="en-GB"/>
              </w:rPr>
              <w:t>NO</w:t>
            </w:r>
            <w:r>
              <w:rPr>
                <w:rFonts w:ascii="Calibri" w:eastAsia="Times New Roman" w:hAnsi="Calibri" w:cs="Calibri"/>
                <w:color w:val="202124"/>
                <w:sz w:val="12"/>
                <w:szCs w:val="12"/>
                <w:vertAlign w:val="subscript"/>
                <w:lang w:val="en-GB" w:eastAsia="en-GB"/>
              </w:rPr>
              <w:t>3</w:t>
            </w:r>
            <w:r>
              <w:rPr>
                <w:rFonts w:ascii="Calibri" w:eastAsia="Times New Roman" w:hAnsi="Calibri" w:cs="Calibri"/>
                <w:color w:val="202124"/>
                <w:sz w:val="12"/>
                <w:szCs w:val="12"/>
                <w:lang w:val="en-GB" w:eastAsia="en-GB"/>
              </w:rPr>
              <w:t>-  ↓</w:t>
            </w:r>
          </w:p>
        </w:tc>
        <w:tc>
          <w:tcPr>
            <w:tcW w:w="622"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703"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15"/>
        </w:trPr>
        <w:tc>
          <w:tcPr>
            <w:tcW w:w="833" w:type="dxa"/>
            <w:tcBorders>
              <w:left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1110-000</w:t>
            </w:r>
          </w:p>
        </w:tc>
        <w:tc>
          <w:tcPr>
            <w:tcW w:w="2297" w:type="dxa"/>
            <w:tcBorders>
              <w:bottom w:val="single" w:sz="8"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eastAsia="cs-CZ"/>
              </w:rPr>
              <w:t>AQ3 Mini – Basic</w:t>
            </w:r>
          </w:p>
        </w:tc>
        <w:tc>
          <w:tcPr>
            <w:tcW w:w="2753" w:type="dxa"/>
            <w:gridSpan w:val="3"/>
            <w:tcBorders>
              <w:top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Ztvrzování vody</w:t>
            </w:r>
            <w:r>
              <w:rPr>
                <w:rFonts w:ascii="Calibri" w:eastAsia="Times New Roman" w:hAnsi="Calibri" w:cs="Calibri"/>
                <w:color w:val="000000"/>
                <w:sz w:val="12"/>
                <w:szCs w:val="12"/>
                <w:vertAlign w:val="superscript"/>
                <w:lang w:val="en-GB" w:eastAsia="en-GB"/>
              </w:rPr>
              <w:t>12)</w:t>
            </w:r>
          </w:p>
        </w:tc>
        <w:tc>
          <w:tcPr>
            <w:tcW w:w="837" w:type="dxa"/>
            <w:tcBorders>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SMD_K0</w:t>
            </w:r>
            <w:r>
              <w:rPr>
                <w:rFonts w:ascii="Calibri" w:eastAsia="Times New Roman" w:hAnsi="Calibri" w:cs="Calibri"/>
                <w:color w:val="000000"/>
                <w:sz w:val="12"/>
                <w:szCs w:val="12"/>
                <w:vertAlign w:val="superscript"/>
                <w:lang w:val="en-GB" w:eastAsia="en-GB"/>
              </w:rPr>
              <w:t>11)</w:t>
            </w:r>
          </w:p>
        </w:tc>
        <w:tc>
          <w:tcPr>
            <w:tcW w:w="1901" w:type="dxa"/>
            <w:gridSpan w:val="2"/>
            <w:tcBorders>
              <w:top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202124"/>
                <w:sz w:val="12"/>
                <w:szCs w:val="12"/>
                <w:lang w:val="en-GB" w:eastAsia="en-GB"/>
              </w:rPr>
            </w:pPr>
            <w:r>
              <w:rPr>
                <w:rFonts w:ascii="Calibri" w:eastAsia="Times New Roman" w:hAnsi="Calibri" w:cs="Calibri"/>
                <w:color w:val="202124"/>
                <w:sz w:val="12"/>
                <w:szCs w:val="12"/>
                <w:lang w:val="en-GB" w:eastAsia="en-GB"/>
              </w:rPr>
              <w:t>CaCO</w:t>
            </w:r>
            <w:r>
              <w:rPr>
                <w:rFonts w:ascii="Calibri" w:eastAsia="Times New Roman" w:hAnsi="Calibri" w:cs="Calibri"/>
                <w:color w:val="202124"/>
                <w:sz w:val="12"/>
                <w:szCs w:val="12"/>
                <w:vertAlign w:val="subscript"/>
                <w:lang w:val="en-GB" w:eastAsia="en-GB"/>
              </w:rPr>
              <w:t xml:space="preserve">3 </w:t>
            </w:r>
            <w:r>
              <w:rPr>
                <w:rFonts w:ascii="Calibri" w:eastAsia="Times New Roman" w:hAnsi="Calibri" w:cs="Calibri"/>
                <w:color w:val="202124"/>
                <w:sz w:val="12"/>
                <w:szCs w:val="12"/>
                <w:lang w:val="en-GB" w:eastAsia="en-GB"/>
              </w:rPr>
              <w:t>+ MgO   ↑</w:t>
            </w:r>
          </w:p>
        </w:tc>
        <w:tc>
          <w:tcPr>
            <w:tcW w:w="622" w:type="dxa"/>
            <w:tcBorders>
              <w:bottom w:val="single" w:sz="8"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703" w:type="dxa"/>
            <w:tcBorders>
              <w:bottom w:val="single" w:sz="8"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42" w:type="dxa"/>
            <w:gridSpan w:val="3"/>
            <w:tcBorders>
              <w:bottom w:val="single" w:sz="8"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15"/>
        </w:trPr>
        <w:tc>
          <w:tcPr>
            <w:tcW w:w="833" w:type="dxa"/>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121-000</w:t>
            </w:r>
          </w:p>
        </w:tc>
        <w:tc>
          <w:tcPr>
            <w:tcW w:w="2297" w:type="dxa"/>
            <w:tcBorders>
              <w:top w:val="single" w:sz="8" w:space="0" w:color="000000"/>
              <w:bottom w:val="single" w:sz="4" w:space="0" w:color="000000"/>
              <w:right w:val="single" w:sz="4" w:space="0" w:color="000000"/>
            </w:tcBorders>
            <w:shd w:val="clear" w:color="000000" w:fill="DBE5F1" w:themeFill="accent1" w:themeFillTint="33"/>
            <w:vAlign w:val="center"/>
          </w:tcPr>
          <w:p w:rsidR="00287B1D" w:rsidRDefault="00BB6CB9">
            <w:pPr>
              <w:spacing w:after="0" w:line="240" w:lineRule="auto"/>
              <w:rPr>
                <w:rFonts w:ascii="Calibri" w:eastAsia="Times New Roman" w:hAnsi="Calibri" w:cs="Calibri"/>
                <w:color w:val="000000"/>
                <w:sz w:val="14"/>
                <w:szCs w:val="14"/>
                <w:lang w:eastAsia="cs-CZ"/>
              </w:rPr>
            </w:pPr>
            <w:r>
              <w:rPr>
                <w:rFonts w:ascii="Calibri" w:eastAsia="Times New Roman" w:hAnsi="Calibri" w:cs="Calibri"/>
                <w:b/>
                <w:bCs/>
                <w:color w:val="000000"/>
                <w:sz w:val="14"/>
                <w:szCs w:val="14"/>
                <w:lang w:val="en-GB" w:eastAsia="en-GB"/>
              </w:rPr>
              <w:t xml:space="preserve">AQ3 Mini – Standard </w:t>
            </w:r>
            <w:r>
              <w:rPr>
                <w:rFonts w:ascii="Calibri" w:eastAsia="Times New Roman" w:hAnsi="Calibri" w:cs="Calibri"/>
                <w:b/>
                <w:bCs/>
                <w:color w:val="000000"/>
                <w:sz w:val="14"/>
                <w:szCs w:val="14"/>
                <w:vertAlign w:val="superscript"/>
                <w:lang w:val="en-GB" w:eastAsia="en-GB"/>
              </w:rPr>
              <w:t>11)</w:t>
            </w:r>
          </w:p>
        </w:tc>
        <w:tc>
          <w:tcPr>
            <w:tcW w:w="2753" w:type="dxa"/>
            <w:gridSpan w:val="3"/>
            <w:tcBorders>
              <w:top w:val="single" w:sz="8"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Tvrdá voda-změkčení</w:t>
            </w:r>
            <w:r>
              <w:rPr>
                <w:rFonts w:ascii="Calibri" w:eastAsia="Times New Roman" w:hAnsi="Calibri" w:cs="Calibri"/>
                <w:color w:val="000000"/>
                <w:sz w:val="12"/>
                <w:szCs w:val="12"/>
                <w:vertAlign w:val="superscript"/>
                <w:lang w:val="en-GB" w:eastAsia="en-GB"/>
              </w:rPr>
              <w:t>12)</w:t>
            </w:r>
          </w:p>
        </w:tc>
        <w:tc>
          <w:tcPr>
            <w:tcW w:w="837" w:type="dxa"/>
            <w:tcBorders>
              <w:top w:val="single" w:sz="8"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PPC2</w:t>
            </w:r>
            <w:r>
              <w:rPr>
                <w:rFonts w:ascii="Calibri" w:eastAsia="Times New Roman" w:hAnsi="Calibri" w:cs="Calibri"/>
                <w:color w:val="000000"/>
                <w:sz w:val="12"/>
                <w:szCs w:val="12"/>
                <w:vertAlign w:val="superscript"/>
                <w:lang w:val="en-GB" w:eastAsia="en-GB"/>
              </w:rPr>
              <w:t>2)</w:t>
            </w:r>
          </w:p>
        </w:tc>
        <w:tc>
          <w:tcPr>
            <w:tcW w:w="1901" w:type="dxa"/>
            <w:gridSpan w:val="2"/>
            <w:tcBorders>
              <w:top w:val="single" w:sz="8"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Ca + Mg   ↓</w:t>
            </w:r>
          </w:p>
        </w:tc>
        <w:tc>
          <w:tcPr>
            <w:tcW w:w="622" w:type="dxa"/>
            <w:tcBorders>
              <w:top w:val="single" w:sz="8" w:space="0" w:color="000000"/>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703" w:type="dxa"/>
            <w:tcBorders>
              <w:top w:val="single" w:sz="8" w:space="0" w:color="000000"/>
              <w:bottom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842" w:type="dxa"/>
            <w:gridSpan w:val="3"/>
            <w:tcBorders>
              <w:top w:val="single" w:sz="8" w:space="0" w:color="000000"/>
              <w:bottom w:val="single" w:sz="4" w:space="0" w:color="000000"/>
              <w:right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222" w:type="dxa"/>
          </w:tcPr>
          <w:p w:rsidR="00287B1D" w:rsidRDefault="00287B1D"/>
        </w:tc>
      </w:tr>
      <w:tr w:rsidR="00287B1D" w:rsidTr="00766381">
        <w:trPr>
          <w:trHeight w:val="315"/>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122-000</w:t>
            </w:r>
          </w:p>
        </w:tc>
        <w:tc>
          <w:tcPr>
            <w:tcW w:w="2297" w:type="dxa"/>
            <w:tcBorders>
              <w:top w:val="single" w:sz="4" w:space="0" w:color="000000"/>
              <w:bottom w:val="single" w:sz="4" w:space="0" w:color="000000"/>
              <w:right w:val="single" w:sz="4" w:space="0" w:color="000000"/>
            </w:tcBorders>
            <w:shd w:val="clear" w:color="000000" w:fill="DBE5F1" w:themeFill="accent1" w:themeFillTint="33"/>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Standard</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Odstranění Arzenu</w:t>
            </w:r>
            <w:r>
              <w:rPr>
                <w:rFonts w:ascii="Calibri" w:eastAsia="Times New Roman" w:hAnsi="Calibri" w:cs="Calibri"/>
                <w:color w:val="000000"/>
                <w:sz w:val="12"/>
                <w:szCs w:val="12"/>
                <w:vertAlign w:val="superscript"/>
                <w:lang w:val="en-GB" w:eastAsia="en-GB"/>
              </w:rPr>
              <w:t>12)</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LT60</w:t>
            </w:r>
            <w:r>
              <w:rPr>
                <w:rFonts w:ascii="Calibri" w:eastAsia="Times New Roman" w:hAnsi="Calibri" w:cs="Calibri"/>
                <w:color w:val="000000"/>
                <w:sz w:val="12"/>
                <w:szCs w:val="12"/>
                <w:vertAlign w:val="superscript"/>
                <w:lang w:val="en-GB" w:eastAsia="en-GB"/>
              </w:rPr>
              <w:t>1)</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As   ↓</w:t>
            </w:r>
          </w:p>
        </w:tc>
        <w:tc>
          <w:tcPr>
            <w:tcW w:w="622"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Úprava vody z VVŘ</w:t>
            </w:r>
          </w:p>
        </w:tc>
        <w:tc>
          <w:tcPr>
            <w:tcW w:w="703" w:type="dxa"/>
            <w:tcBorders>
              <w:bottom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842" w:type="dxa"/>
            <w:gridSpan w:val="3"/>
            <w:tcBorders>
              <w:bottom w:val="single" w:sz="4" w:space="0" w:color="000000"/>
              <w:right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222" w:type="dxa"/>
          </w:tcPr>
          <w:p w:rsidR="00287B1D" w:rsidRDefault="00287B1D"/>
        </w:tc>
      </w:tr>
      <w:tr w:rsidR="00287B1D" w:rsidTr="00766381">
        <w:trPr>
          <w:trHeight w:val="315"/>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123-000</w:t>
            </w:r>
          </w:p>
        </w:tc>
        <w:tc>
          <w:tcPr>
            <w:tcW w:w="2297" w:type="dxa"/>
            <w:tcBorders>
              <w:top w:val="single" w:sz="4" w:space="0" w:color="000000"/>
              <w:bottom w:val="single" w:sz="4" w:space="0" w:color="000000"/>
              <w:right w:val="single" w:sz="4" w:space="0" w:color="000000"/>
            </w:tcBorders>
            <w:shd w:val="clear" w:color="000000" w:fill="DBE5F1" w:themeFill="accent1" w:themeFillTint="33"/>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 xml:space="preserve"> AQ3 Mini – Standard</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Odstranění zákalu NTU</w:t>
            </w:r>
            <w:r>
              <w:rPr>
                <w:rFonts w:ascii="Calibri" w:eastAsia="Times New Roman" w:hAnsi="Calibri" w:cs="Calibri"/>
                <w:color w:val="000000"/>
                <w:sz w:val="12"/>
                <w:szCs w:val="12"/>
                <w:vertAlign w:val="superscript"/>
                <w:lang w:val="en-GB" w:eastAsia="en-GB"/>
              </w:rPr>
              <w:t>12)</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SNT-X</w:t>
            </w:r>
            <w:r>
              <w:rPr>
                <w:rFonts w:ascii="Calibri" w:eastAsia="Times New Roman" w:hAnsi="Calibri" w:cs="Calibri"/>
                <w:color w:val="000000"/>
                <w:sz w:val="12"/>
                <w:szCs w:val="12"/>
                <w:vertAlign w:val="superscript"/>
                <w:lang w:val="en-GB" w:eastAsia="en-GB"/>
              </w:rPr>
              <w:t>8)</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MF/UF   ↓</w:t>
            </w:r>
          </w:p>
        </w:tc>
        <w:tc>
          <w:tcPr>
            <w:tcW w:w="622"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Úprava vody z VVŘ</w:t>
            </w:r>
          </w:p>
        </w:tc>
        <w:tc>
          <w:tcPr>
            <w:tcW w:w="703" w:type="dxa"/>
            <w:tcBorders>
              <w:bottom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842" w:type="dxa"/>
            <w:gridSpan w:val="3"/>
            <w:tcBorders>
              <w:bottom w:val="single" w:sz="4" w:space="0" w:color="000000"/>
              <w:right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222" w:type="dxa"/>
          </w:tcPr>
          <w:p w:rsidR="00287B1D" w:rsidRDefault="00287B1D"/>
        </w:tc>
      </w:tr>
      <w:tr w:rsidR="00287B1D" w:rsidTr="00766381">
        <w:trPr>
          <w:trHeight w:val="315"/>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124-000</w:t>
            </w:r>
          </w:p>
        </w:tc>
        <w:tc>
          <w:tcPr>
            <w:tcW w:w="2297" w:type="dxa"/>
            <w:tcBorders>
              <w:top w:val="single" w:sz="4" w:space="0" w:color="000000"/>
              <w:bottom w:val="single" w:sz="4" w:space="0" w:color="000000"/>
              <w:right w:val="single" w:sz="4" w:space="0" w:color="000000"/>
            </w:tcBorders>
            <w:shd w:val="clear" w:color="000000" w:fill="DBE5F1" w:themeFill="accent1" w:themeFillTint="33"/>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 xml:space="preserve"> AQ3 Mini – Standard</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Železo a mangan-snížení</w:t>
            </w:r>
            <w:r>
              <w:rPr>
                <w:rFonts w:ascii="Calibri" w:eastAsia="Times New Roman" w:hAnsi="Calibri" w:cs="Calibri"/>
                <w:color w:val="000000"/>
                <w:sz w:val="12"/>
                <w:szCs w:val="12"/>
                <w:vertAlign w:val="superscript"/>
                <w:lang w:val="en-GB" w:eastAsia="en-GB"/>
              </w:rPr>
              <w:t>12)</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ECM_P</w:t>
            </w:r>
            <w:r>
              <w:rPr>
                <w:rFonts w:ascii="Calibri" w:eastAsia="Times New Roman" w:hAnsi="Calibri" w:cs="Calibri"/>
                <w:color w:val="000000"/>
                <w:sz w:val="12"/>
                <w:szCs w:val="12"/>
                <w:vertAlign w:val="superscript"/>
                <w:lang w:val="en-GB" w:eastAsia="en-GB"/>
              </w:rPr>
              <w:t>3)</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Fe + Mn   ↓</w:t>
            </w:r>
          </w:p>
        </w:tc>
        <w:tc>
          <w:tcPr>
            <w:tcW w:w="622"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Úprava vody z VVŘ</w:t>
            </w:r>
          </w:p>
        </w:tc>
        <w:tc>
          <w:tcPr>
            <w:tcW w:w="703" w:type="dxa"/>
            <w:tcBorders>
              <w:bottom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842" w:type="dxa"/>
            <w:gridSpan w:val="3"/>
            <w:tcBorders>
              <w:bottom w:val="single" w:sz="4" w:space="0" w:color="000000"/>
              <w:right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222" w:type="dxa"/>
          </w:tcPr>
          <w:p w:rsidR="00287B1D" w:rsidRDefault="00287B1D"/>
        </w:tc>
      </w:tr>
      <w:tr w:rsidR="00287B1D" w:rsidTr="00766381">
        <w:trPr>
          <w:trHeight w:val="315"/>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125-000</w:t>
            </w:r>
          </w:p>
        </w:tc>
        <w:tc>
          <w:tcPr>
            <w:tcW w:w="2297" w:type="dxa"/>
            <w:tcBorders>
              <w:top w:val="single" w:sz="4" w:space="0" w:color="000000"/>
              <w:bottom w:val="single" w:sz="4" w:space="0" w:color="000000"/>
              <w:right w:val="single" w:sz="4" w:space="0" w:color="000000"/>
            </w:tcBorders>
            <w:shd w:val="clear" w:color="000000" w:fill="DBE5F1" w:themeFill="accent1" w:themeFillTint="33"/>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 xml:space="preserve"> AQ3 Mini – Standard</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Vápník, Hořčík, Železo, Amoniak-snížení</w:t>
            </w:r>
            <w:r>
              <w:rPr>
                <w:rFonts w:ascii="Calibri" w:eastAsia="Times New Roman" w:hAnsi="Calibri" w:cs="Calibri"/>
                <w:color w:val="000000"/>
                <w:sz w:val="12"/>
                <w:szCs w:val="12"/>
                <w:vertAlign w:val="superscript"/>
                <w:lang w:val="en-GB" w:eastAsia="en-GB"/>
              </w:rPr>
              <w:t>12)</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ECM_A</w:t>
            </w:r>
            <w:r>
              <w:rPr>
                <w:rFonts w:ascii="Calibri" w:eastAsia="Times New Roman" w:hAnsi="Calibri" w:cs="Calibri"/>
                <w:color w:val="000000"/>
                <w:sz w:val="12"/>
                <w:szCs w:val="12"/>
                <w:vertAlign w:val="superscript"/>
                <w:lang w:val="en-GB" w:eastAsia="en-GB"/>
              </w:rPr>
              <w:t>4)</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Ca, Mg, Fe, NH4</w:t>
            </w:r>
            <w:r>
              <w:rPr>
                <w:rFonts w:ascii="Calibri" w:eastAsia="Times New Roman" w:hAnsi="Calibri" w:cs="Calibri"/>
                <w:color w:val="000000"/>
                <w:sz w:val="12"/>
                <w:szCs w:val="12"/>
                <w:vertAlign w:val="superscript"/>
                <w:lang w:val="en-GB" w:eastAsia="en-GB"/>
              </w:rPr>
              <w:t xml:space="preserve">+   </w:t>
            </w:r>
            <w:r>
              <w:rPr>
                <w:rFonts w:ascii="Calibri" w:eastAsia="Times New Roman" w:hAnsi="Calibri" w:cs="Calibri"/>
                <w:color w:val="000000"/>
                <w:sz w:val="12"/>
                <w:szCs w:val="12"/>
                <w:lang w:val="en-GB" w:eastAsia="en-GB"/>
              </w:rPr>
              <w:t>↓</w:t>
            </w:r>
          </w:p>
        </w:tc>
        <w:tc>
          <w:tcPr>
            <w:tcW w:w="622"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Úprava vody z VVŘ</w:t>
            </w:r>
          </w:p>
        </w:tc>
        <w:tc>
          <w:tcPr>
            <w:tcW w:w="703" w:type="dxa"/>
            <w:tcBorders>
              <w:bottom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842" w:type="dxa"/>
            <w:gridSpan w:val="3"/>
            <w:tcBorders>
              <w:bottom w:val="single" w:sz="4" w:space="0" w:color="000000"/>
              <w:right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222" w:type="dxa"/>
          </w:tcPr>
          <w:p w:rsidR="00287B1D" w:rsidRDefault="00287B1D"/>
        </w:tc>
      </w:tr>
      <w:tr w:rsidR="00287B1D" w:rsidTr="00766381">
        <w:trPr>
          <w:trHeight w:val="315"/>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126-000</w:t>
            </w:r>
          </w:p>
        </w:tc>
        <w:tc>
          <w:tcPr>
            <w:tcW w:w="2297" w:type="dxa"/>
            <w:tcBorders>
              <w:top w:val="single" w:sz="4" w:space="0" w:color="000000"/>
              <w:bottom w:val="single" w:sz="4" w:space="0" w:color="000000"/>
              <w:right w:val="single" w:sz="4" w:space="0" w:color="000000"/>
            </w:tcBorders>
            <w:shd w:val="clear" w:color="000000" w:fill="DBE5F1" w:themeFill="accent1" w:themeFillTint="33"/>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 xml:space="preserve"> AQ3 Mini – Standard</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Stabilizace pH+</w:t>
            </w:r>
            <w:r>
              <w:rPr>
                <w:rFonts w:ascii="Calibri" w:eastAsia="Times New Roman" w:hAnsi="Calibri" w:cs="Calibri"/>
                <w:color w:val="000000"/>
                <w:sz w:val="12"/>
                <w:szCs w:val="12"/>
                <w:vertAlign w:val="superscript"/>
                <w:lang w:val="en-GB" w:eastAsia="en-GB"/>
              </w:rPr>
              <w:t>12)</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ind w:left="-108" w:firstLine="108"/>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CRS_X</w:t>
            </w:r>
            <w:r>
              <w:rPr>
                <w:rFonts w:ascii="Calibri" w:eastAsia="Times New Roman" w:hAnsi="Calibri" w:cs="Calibri"/>
                <w:color w:val="000000"/>
                <w:sz w:val="12"/>
                <w:szCs w:val="12"/>
                <w:vertAlign w:val="superscript"/>
                <w:lang w:val="en-GB" w:eastAsia="en-GB"/>
              </w:rPr>
              <w:t>5)</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373A3C"/>
                <w:sz w:val="12"/>
                <w:szCs w:val="12"/>
                <w:lang w:val="en-GB" w:eastAsia="en-GB"/>
              </w:rPr>
            </w:pPr>
            <w:r>
              <w:rPr>
                <w:rFonts w:ascii="Calibri" w:eastAsia="Times New Roman" w:hAnsi="Calibri" w:cs="Calibri"/>
                <w:color w:val="373A3C"/>
                <w:sz w:val="12"/>
                <w:szCs w:val="12"/>
                <w:lang w:val="en-GB" w:eastAsia="en-GB"/>
              </w:rPr>
              <w:t>MgO; 4,5 - 6,0   ↑</w:t>
            </w:r>
          </w:p>
        </w:tc>
        <w:tc>
          <w:tcPr>
            <w:tcW w:w="622"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Úprava vody z VVŘ</w:t>
            </w:r>
          </w:p>
        </w:tc>
        <w:tc>
          <w:tcPr>
            <w:tcW w:w="703" w:type="dxa"/>
            <w:tcBorders>
              <w:bottom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842" w:type="dxa"/>
            <w:gridSpan w:val="3"/>
            <w:tcBorders>
              <w:bottom w:val="single" w:sz="4" w:space="0" w:color="000000"/>
              <w:right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222" w:type="dxa"/>
          </w:tcPr>
          <w:p w:rsidR="00287B1D" w:rsidRDefault="00287B1D"/>
        </w:tc>
      </w:tr>
      <w:tr w:rsidR="00287B1D" w:rsidTr="00766381">
        <w:trPr>
          <w:trHeight w:val="315"/>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127-000</w:t>
            </w:r>
          </w:p>
        </w:tc>
        <w:tc>
          <w:tcPr>
            <w:tcW w:w="2297" w:type="dxa"/>
            <w:tcBorders>
              <w:top w:val="single" w:sz="4" w:space="0" w:color="000000"/>
              <w:bottom w:val="single" w:sz="4" w:space="0" w:color="000000"/>
              <w:right w:val="single" w:sz="4" w:space="0" w:color="000000"/>
            </w:tcBorders>
            <w:shd w:val="clear" w:color="000000" w:fill="DBE5F1" w:themeFill="accent1" w:themeFillTint="33"/>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 xml:space="preserve"> AQ3 Mini – Standard</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Stabilizace pH++</w:t>
            </w:r>
            <w:r>
              <w:rPr>
                <w:rFonts w:ascii="Calibri" w:eastAsia="Times New Roman" w:hAnsi="Calibri" w:cs="Calibri"/>
                <w:color w:val="000000"/>
                <w:sz w:val="12"/>
                <w:szCs w:val="12"/>
                <w:vertAlign w:val="superscript"/>
                <w:lang w:val="en-GB" w:eastAsia="en-GB"/>
              </w:rPr>
              <w:t>12)</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CCT_E</w:t>
            </w:r>
            <w:r>
              <w:rPr>
                <w:rFonts w:ascii="Calibri" w:eastAsia="Times New Roman" w:hAnsi="Calibri" w:cs="Calibri"/>
                <w:color w:val="000000"/>
                <w:sz w:val="12"/>
                <w:szCs w:val="12"/>
                <w:vertAlign w:val="superscript"/>
                <w:lang w:val="en-GB" w:eastAsia="en-GB"/>
              </w:rPr>
              <w:t>6)</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373A3C"/>
                <w:sz w:val="12"/>
                <w:szCs w:val="12"/>
                <w:lang w:val="en-GB" w:eastAsia="en-GB"/>
              </w:rPr>
            </w:pPr>
            <w:r>
              <w:rPr>
                <w:rFonts w:ascii="Calibri" w:eastAsia="Times New Roman" w:hAnsi="Calibri" w:cs="Calibri"/>
                <w:color w:val="373A3C"/>
                <w:sz w:val="12"/>
                <w:szCs w:val="12"/>
                <w:lang w:val="en-GB" w:eastAsia="en-GB"/>
              </w:rPr>
              <w:t>CaCO</w:t>
            </w:r>
            <w:r>
              <w:rPr>
                <w:rFonts w:ascii="Calibri" w:eastAsia="Times New Roman" w:hAnsi="Calibri" w:cs="Calibri"/>
                <w:color w:val="373A3C"/>
                <w:sz w:val="12"/>
                <w:szCs w:val="12"/>
                <w:vertAlign w:val="subscript"/>
                <w:lang w:val="en-GB" w:eastAsia="en-GB"/>
              </w:rPr>
              <w:t>3</w:t>
            </w:r>
            <w:r>
              <w:rPr>
                <w:rFonts w:ascii="Calibri" w:eastAsia="Times New Roman" w:hAnsi="Calibri" w:cs="Calibri"/>
                <w:color w:val="373A3C"/>
                <w:sz w:val="12"/>
                <w:szCs w:val="12"/>
                <w:lang w:val="en-GB" w:eastAsia="en-GB"/>
              </w:rPr>
              <w:t>, MgCO</w:t>
            </w:r>
            <w:r>
              <w:rPr>
                <w:rFonts w:ascii="Calibri" w:eastAsia="Times New Roman" w:hAnsi="Calibri" w:cs="Calibri"/>
                <w:color w:val="373A3C"/>
                <w:sz w:val="12"/>
                <w:szCs w:val="12"/>
                <w:vertAlign w:val="subscript"/>
                <w:lang w:val="en-GB" w:eastAsia="en-GB"/>
              </w:rPr>
              <w:t>3</w:t>
            </w:r>
            <w:r>
              <w:rPr>
                <w:rFonts w:ascii="Calibri" w:eastAsia="Times New Roman" w:hAnsi="Calibri" w:cs="Calibri"/>
                <w:color w:val="373A3C"/>
                <w:sz w:val="12"/>
                <w:szCs w:val="12"/>
                <w:lang w:val="en-GB" w:eastAsia="en-GB"/>
              </w:rPr>
              <w:t>;</w:t>
            </w:r>
            <w:r>
              <w:rPr>
                <w:rFonts w:ascii="Calibri" w:eastAsia="Times New Roman" w:hAnsi="Calibri" w:cs="Calibri"/>
                <w:color w:val="373A3C"/>
                <w:sz w:val="12"/>
                <w:szCs w:val="12"/>
                <w:vertAlign w:val="subscript"/>
                <w:lang w:val="en-GB" w:eastAsia="en-GB"/>
              </w:rPr>
              <w:t xml:space="preserve"> </w:t>
            </w:r>
            <w:r>
              <w:rPr>
                <w:rFonts w:ascii="Calibri" w:eastAsia="Times New Roman" w:hAnsi="Calibri" w:cs="Calibri"/>
                <w:color w:val="373A3C"/>
                <w:sz w:val="12"/>
                <w:szCs w:val="12"/>
                <w:lang w:val="en-GB" w:eastAsia="en-GB"/>
              </w:rPr>
              <w:t>5,0 - 7,0   ↑</w:t>
            </w:r>
          </w:p>
        </w:tc>
        <w:tc>
          <w:tcPr>
            <w:tcW w:w="622" w:type="dxa"/>
            <w:tcBorders>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Úprava vody z VVŘ</w:t>
            </w:r>
          </w:p>
        </w:tc>
        <w:tc>
          <w:tcPr>
            <w:tcW w:w="703" w:type="dxa"/>
            <w:tcBorders>
              <w:bottom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842" w:type="dxa"/>
            <w:gridSpan w:val="3"/>
            <w:tcBorders>
              <w:bottom w:val="single" w:sz="4" w:space="0" w:color="000000"/>
              <w:right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222" w:type="dxa"/>
          </w:tcPr>
          <w:p w:rsidR="00287B1D" w:rsidRDefault="00287B1D"/>
        </w:tc>
      </w:tr>
      <w:tr w:rsidR="00287B1D" w:rsidTr="00766381">
        <w:trPr>
          <w:trHeight w:val="315"/>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128-000</w:t>
            </w:r>
          </w:p>
        </w:tc>
        <w:tc>
          <w:tcPr>
            <w:tcW w:w="2297" w:type="dxa"/>
            <w:tcBorders>
              <w:top w:val="single" w:sz="4" w:space="0" w:color="000000"/>
              <w:bottom w:val="single" w:sz="4" w:space="0" w:color="000000"/>
              <w:right w:val="single" w:sz="4" w:space="0" w:color="000000"/>
            </w:tcBorders>
            <w:shd w:val="clear" w:color="000000" w:fill="DBE5F1" w:themeFill="accent1" w:themeFillTint="33"/>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 xml:space="preserve"> AQ3 Mini – Standard</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Snížení  izotopů, nuklidů</w:t>
            </w:r>
            <w:r>
              <w:rPr>
                <w:rFonts w:ascii="Calibri" w:eastAsia="Times New Roman" w:hAnsi="Calibri" w:cs="Calibri"/>
                <w:color w:val="000000"/>
                <w:sz w:val="12"/>
                <w:szCs w:val="12"/>
                <w:vertAlign w:val="superscript"/>
                <w:lang w:val="en-GB" w:eastAsia="en-GB"/>
              </w:rPr>
              <w:t>12)</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TMC</w:t>
            </w:r>
            <w:r>
              <w:rPr>
                <w:rFonts w:ascii="Calibri" w:eastAsia="Times New Roman" w:hAnsi="Calibri" w:cs="Calibri"/>
                <w:color w:val="000000"/>
                <w:sz w:val="12"/>
                <w:szCs w:val="12"/>
                <w:vertAlign w:val="superscript"/>
                <w:lang w:val="en-GB" w:eastAsia="en-GB"/>
              </w:rPr>
              <w:t>9)</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SHG_ C70+  ↓</w:t>
            </w:r>
          </w:p>
        </w:tc>
        <w:tc>
          <w:tcPr>
            <w:tcW w:w="622" w:type="dxa"/>
            <w:tcBorders>
              <w:bottom w:val="single" w:sz="4" w:space="0" w:color="000000"/>
            </w:tcBorders>
            <w:shd w:val="clear" w:color="auto" w:fill="auto"/>
            <w:vAlign w:val="bottom"/>
          </w:tcPr>
          <w:p w:rsidR="00287B1D" w:rsidRDefault="00BB6CB9">
            <w:pPr>
              <w:spacing w:after="0" w:line="240" w:lineRule="auto"/>
              <w:ind w:right="-1808"/>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Úprava vody z VVŘ</w:t>
            </w:r>
          </w:p>
        </w:tc>
        <w:tc>
          <w:tcPr>
            <w:tcW w:w="703" w:type="dxa"/>
            <w:tcBorders>
              <w:bottom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842" w:type="dxa"/>
            <w:gridSpan w:val="3"/>
            <w:tcBorders>
              <w:bottom w:val="single" w:sz="4" w:space="0" w:color="000000"/>
              <w:right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222" w:type="dxa"/>
          </w:tcPr>
          <w:p w:rsidR="00287B1D" w:rsidRDefault="00287B1D"/>
        </w:tc>
      </w:tr>
      <w:tr w:rsidR="00287B1D" w:rsidTr="00766381">
        <w:trPr>
          <w:trHeight w:val="315"/>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129-000</w:t>
            </w:r>
          </w:p>
        </w:tc>
        <w:tc>
          <w:tcPr>
            <w:tcW w:w="2297" w:type="dxa"/>
            <w:tcBorders>
              <w:top w:val="single" w:sz="4" w:space="0" w:color="000000"/>
              <w:bottom w:val="single" w:sz="4" w:space="0" w:color="000000"/>
              <w:right w:val="single" w:sz="4" w:space="0" w:color="000000"/>
            </w:tcBorders>
            <w:shd w:val="clear" w:color="000000" w:fill="DBE5F1" w:themeFill="accent1" w:themeFillTint="33"/>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 xml:space="preserve"> AQ3 Mini – Standard</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Snížení dusičnanů</w:t>
            </w:r>
            <w:r>
              <w:rPr>
                <w:rFonts w:ascii="Calibri" w:eastAsia="Times New Roman" w:hAnsi="Calibri" w:cs="Calibri"/>
                <w:color w:val="000000"/>
                <w:sz w:val="12"/>
                <w:szCs w:val="12"/>
                <w:vertAlign w:val="superscript"/>
                <w:lang w:val="en-GB" w:eastAsia="en-GB"/>
              </w:rPr>
              <w:t>12)</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PPA2</w:t>
            </w:r>
            <w:r>
              <w:rPr>
                <w:rFonts w:ascii="Calibri" w:eastAsia="Times New Roman" w:hAnsi="Calibri" w:cs="Calibri"/>
                <w:color w:val="000000"/>
                <w:sz w:val="12"/>
                <w:szCs w:val="12"/>
                <w:vertAlign w:val="superscript"/>
                <w:lang w:val="en-GB" w:eastAsia="en-GB"/>
              </w:rPr>
              <w:t>10)</w:t>
            </w:r>
          </w:p>
        </w:tc>
        <w:tc>
          <w:tcPr>
            <w:tcW w:w="1901" w:type="dxa"/>
            <w:gridSpan w:val="2"/>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color w:val="202124"/>
                <w:sz w:val="12"/>
                <w:szCs w:val="12"/>
                <w:lang w:val="en-GB" w:eastAsia="en-GB"/>
              </w:rPr>
            </w:pPr>
            <w:r>
              <w:rPr>
                <w:rFonts w:ascii="Calibri" w:eastAsia="Times New Roman" w:hAnsi="Calibri" w:cs="Calibri"/>
                <w:b/>
                <w:bCs/>
                <w:color w:val="202124"/>
                <w:sz w:val="12"/>
                <w:szCs w:val="12"/>
                <w:lang w:val="en-GB" w:eastAsia="en-GB"/>
              </w:rPr>
              <w:t> </w:t>
            </w:r>
            <w:r>
              <w:rPr>
                <w:rFonts w:ascii="Calibri" w:eastAsia="Times New Roman" w:hAnsi="Calibri" w:cs="Calibri"/>
                <w:color w:val="202124"/>
                <w:sz w:val="12"/>
                <w:szCs w:val="12"/>
                <w:lang w:val="en-GB" w:eastAsia="en-GB"/>
              </w:rPr>
              <w:t>NO</w:t>
            </w:r>
            <w:r>
              <w:rPr>
                <w:rFonts w:ascii="Calibri" w:eastAsia="Times New Roman" w:hAnsi="Calibri" w:cs="Calibri"/>
                <w:color w:val="202124"/>
                <w:sz w:val="12"/>
                <w:szCs w:val="12"/>
                <w:vertAlign w:val="subscript"/>
                <w:lang w:val="en-GB" w:eastAsia="en-GB"/>
              </w:rPr>
              <w:t>3</w:t>
            </w:r>
            <w:r>
              <w:rPr>
                <w:rFonts w:ascii="Calibri" w:eastAsia="Times New Roman" w:hAnsi="Calibri" w:cs="Calibri"/>
                <w:color w:val="202124"/>
                <w:sz w:val="12"/>
                <w:szCs w:val="12"/>
                <w:lang w:val="en-GB" w:eastAsia="en-GB"/>
              </w:rPr>
              <w:t>-  ↓</w:t>
            </w:r>
          </w:p>
        </w:tc>
        <w:tc>
          <w:tcPr>
            <w:tcW w:w="622" w:type="dxa"/>
            <w:tcBorders>
              <w:bottom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703" w:type="dxa"/>
            <w:tcBorders>
              <w:bottom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842" w:type="dxa"/>
            <w:gridSpan w:val="3"/>
            <w:tcBorders>
              <w:bottom w:val="single" w:sz="4" w:space="0" w:color="000000"/>
              <w:right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1210-000</w:t>
            </w:r>
          </w:p>
        </w:tc>
        <w:tc>
          <w:tcPr>
            <w:tcW w:w="2297" w:type="dxa"/>
            <w:tcBorders>
              <w:top w:val="single" w:sz="4" w:space="0" w:color="000000"/>
              <w:bottom w:val="single" w:sz="8" w:space="0" w:color="000000"/>
              <w:right w:val="single" w:sz="4" w:space="0" w:color="000000"/>
            </w:tcBorders>
            <w:shd w:val="clear" w:color="000000" w:fill="DBE5F1" w:themeFill="accent1" w:themeFillTint="33"/>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 xml:space="preserve"> AQ3 Mini – Standard</w:t>
            </w:r>
          </w:p>
        </w:tc>
        <w:tc>
          <w:tcPr>
            <w:tcW w:w="2753" w:type="dxa"/>
            <w:gridSpan w:val="3"/>
            <w:tcBorders>
              <w:top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Ztvrzování vody</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SMD_K0</w:t>
            </w:r>
            <w:r>
              <w:rPr>
                <w:rFonts w:ascii="Calibri" w:eastAsia="Times New Roman" w:hAnsi="Calibri" w:cs="Calibri"/>
                <w:color w:val="000000"/>
                <w:sz w:val="12"/>
                <w:szCs w:val="12"/>
                <w:vertAlign w:val="superscript"/>
                <w:lang w:val="en-GB" w:eastAsia="en-GB"/>
              </w:rPr>
              <w:t>11)</w:t>
            </w:r>
          </w:p>
        </w:tc>
        <w:tc>
          <w:tcPr>
            <w:tcW w:w="1901" w:type="dxa"/>
            <w:gridSpan w:val="2"/>
            <w:tcBorders>
              <w:top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202124"/>
                <w:sz w:val="12"/>
                <w:szCs w:val="12"/>
                <w:lang w:val="en-GB" w:eastAsia="en-GB"/>
              </w:rPr>
            </w:pPr>
            <w:r>
              <w:rPr>
                <w:rFonts w:ascii="Calibri" w:eastAsia="Times New Roman" w:hAnsi="Calibri" w:cs="Calibri"/>
                <w:color w:val="202124"/>
                <w:sz w:val="12"/>
                <w:szCs w:val="12"/>
                <w:lang w:val="en-GB" w:eastAsia="en-GB"/>
              </w:rPr>
              <w:t>CaCO</w:t>
            </w:r>
            <w:r>
              <w:rPr>
                <w:rFonts w:ascii="Calibri" w:eastAsia="Times New Roman" w:hAnsi="Calibri" w:cs="Calibri"/>
                <w:color w:val="202124"/>
                <w:sz w:val="12"/>
                <w:szCs w:val="12"/>
                <w:vertAlign w:val="subscript"/>
                <w:lang w:val="en-GB" w:eastAsia="en-GB"/>
              </w:rPr>
              <w:t xml:space="preserve">3 </w:t>
            </w:r>
            <w:r>
              <w:rPr>
                <w:rFonts w:ascii="Calibri" w:eastAsia="Times New Roman" w:hAnsi="Calibri" w:cs="Calibri"/>
                <w:color w:val="202124"/>
                <w:sz w:val="12"/>
                <w:szCs w:val="12"/>
                <w:lang w:val="en-GB" w:eastAsia="en-GB"/>
              </w:rPr>
              <w:t>+ MgO   ↑</w:t>
            </w:r>
          </w:p>
        </w:tc>
        <w:tc>
          <w:tcPr>
            <w:tcW w:w="622" w:type="dxa"/>
            <w:tcBorders>
              <w:top w:val="single" w:sz="4" w:space="0" w:color="000000"/>
              <w:bottom w:val="single" w:sz="8" w:space="0" w:color="000000"/>
            </w:tcBorders>
            <w:shd w:val="clear" w:color="auto" w:fill="auto"/>
            <w:vAlign w:val="bottom"/>
          </w:tcPr>
          <w:p w:rsidR="00287B1D" w:rsidRDefault="00BB6CB9">
            <w:pPr>
              <w:spacing w:after="0" w:line="240" w:lineRule="auto"/>
              <w:ind w:right="-392"/>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Úprava vody z VVŘ</w:t>
            </w:r>
          </w:p>
        </w:tc>
        <w:tc>
          <w:tcPr>
            <w:tcW w:w="703" w:type="dxa"/>
            <w:tcBorders>
              <w:top w:val="single" w:sz="4" w:space="0" w:color="000000"/>
              <w:bottom w:val="single" w:sz="8"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842" w:type="dxa"/>
            <w:gridSpan w:val="3"/>
            <w:tcBorders>
              <w:top w:val="single" w:sz="4" w:space="0" w:color="000000"/>
              <w:bottom w:val="single" w:sz="8" w:space="0" w:color="000000"/>
              <w:right w:val="single" w:sz="4" w:space="0" w:color="000000"/>
            </w:tcBorders>
            <w:shd w:val="clear" w:color="auto" w:fill="auto"/>
            <w:vAlign w:val="bottom"/>
          </w:tcPr>
          <w:p w:rsidR="00287B1D" w:rsidRDefault="00287B1D">
            <w:pPr>
              <w:spacing w:after="0" w:line="240" w:lineRule="auto"/>
              <w:rPr>
                <w:rFonts w:ascii="Calibri" w:eastAsia="Times New Roman" w:hAnsi="Calibri" w:cs="Calibri"/>
                <w:color w:val="000000"/>
                <w:sz w:val="12"/>
                <w:szCs w:val="12"/>
                <w:lang w:val="en-GB" w:eastAsia="en-GB"/>
              </w:rPr>
            </w:pPr>
          </w:p>
        </w:tc>
        <w:tc>
          <w:tcPr>
            <w:tcW w:w="222" w:type="dxa"/>
          </w:tcPr>
          <w:p w:rsidR="00287B1D" w:rsidRDefault="00287B1D"/>
        </w:tc>
      </w:tr>
      <w:tr w:rsidR="00287B1D" w:rsidTr="00766381">
        <w:trPr>
          <w:trHeight w:val="315"/>
        </w:trPr>
        <w:tc>
          <w:tcPr>
            <w:tcW w:w="833" w:type="dxa"/>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131-000</w:t>
            </w:r>
          </w:p>
        </w:tc>
        <w:tc>
          <w:tcPr>
            <w:tcW w:w="2297" w:type="dxa"/>
            <w:tcBorders>
              <w:top w:val="single" w:sz="8" w:space="0" w:color="000000"/>
              <w:left w:val="single" w:sz="4" w:space="0" w:color="000000"/>
              <w:bottom w:val="single" w:sz="4" w:space="0" w:color="000000"/>
              <w:right w:val="single" w:sz="4" w:space="0" w:color="000000"/>
            </w:tcBorders>
            <w:shd w:val="clear" w:color="000000" w:fill="B8CCE4" w:themeFill="accent1"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b/>
                <w:bCs/>
                <w:color w:val="000000"/>
                <w:sz w:val="14"/>
                <w:szCs w:val="14"/>
                <w:lang w:val="en-GB" w:eastAsia="en-GB"/>
              </w:rPr>
              <w:t xml:space="preserve">AQ3 Mini – Exclusive </w:t>
            </w:r>
            <w:r>
              <w:rPr>
                <w:rFonts w:ascii="Calibri" w:eastAsia="Times New Roman" w:hAnsi="Calibri" w:cs="Calibri"/>
                <w:b/>
                <w:bCs/>
                <w:color w:val="000000"/>
                <w:sz w:val="14"/>
                <w:szCs w:val="14"/>
                <w:vertAlign w:val="superscript"/>
                <w:lang w:val="en-GB" w:eastAsia="en-GB"/>
              </w:rPr>
              <w:t>11)</w:t>
            </w:r>
          </w:p>
        </w:tc>
        <w:tc>
          <w:tcPr>
            <w:tcW w:w="2753" w:type="dxa"/>
            <w:gridSpan w:val="3"/>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color w:val="000000"/>
                <w:sz w:val="12"/>
                <w:szCs w:val="12"/>
                <w:lang w:val="en-GB" w:eastAsia="en-GB"/>
              </w:rPr>
            </w:pPr>
            <w:r>
              <w:rPr>
                <w:rFonts w:ascii="Calibri" w:eastAsia="Times New Roman" w:hAnsi="Calibri" w:cs="Calibri"/>
                <w:b/>
                <w:bCs/>
                <w:color w:val="000000"/>
                <w:sz w:val="12"/>
                <w:szCs w:val="12"/>
                <w:lang w:val="en-GB" w:eastAsia="en-GB"/>
              </w:rPr>
              <w:t>Tvrdá voda-změkčení</w:t>
            </w:r>
            <w:r>
              <w:rPr>
                <w:rFonts w:ascii="Calibri" w:eastAsia="Times New Roman" w:hAnsi="Calibri" w:cs="Calibri"/>
                <w:color w:val="000000"/>
                <w:sz w:val="12"/>
                <w:szCs w:val="12"/>
                <w:vertAlign w:val="superscript"/>
                <w:lang w:val="en-GB" w:eastAsia="en-GB"/>
              </w:rPr>
              <w:t>12)</w:t>
            </w:r>
          </w:p>
        </w:tc>
        <w:tc>
          <w:tcPr>
            <w:tcW w:w="837" w:type="dxa"/>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PPC2</w:t>
            </w:r>
            <w:r>
              <w:rPr>
                <w:rFonts w:ascii="Calibri" w:eastAsia="Times New Roman" w:hAnsi="Calibri" w:cs="Calibri"/>
                <w:color w:val="000000"/>
                <w:sz w:val="12"/>
                <w:szCs w:val="12"/>
                <w:vertAlign w:val="superscript"/>
                <w:lang w:val="en-GB" w:eastAsia="en-GB"/>
              </w:rPr>
              <w:t>2)</w:t>
            </w:r>
          </w:p>
        </w:tc>
        <w:tc>
          <w:tcPr>
            <w:tcW w:w="1901" w:type="dxa"/>
            <w:gridSpan w:val="2"/>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Ca + Mg   ↓</w:t>
            </w:r>
          </w:p>
        </w:tc>
        <w:tc>
          <w:tcPr>
            <w:tcW w:w="2167" w:type="dxa"/>
            <w:gridSpan w:val="5"/>
            <w:tcBorders>
              <w:top w:val="single" w:sz="8"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ind w:right="34"/>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132-000</w:t>
            </w:r>
          </w:p>
        </w:tc>
        <w:tc>
          <w:tcPr>
            <w:tcW w:w="2297" w:type="dxa"/>
            <w:tcBorders>
              <w:top w:val="single" w:sz="4" w:space="0" w:color="000000"/>
              <w:left w:val="single" w:sz="4" w:space="0" w:color="000000"/>
              <w:bottom w:val="single" w:sz="4" w:space="0" w:color="000000"/>
              <w:right w:val="single" w:sz="4" w:space="0" w:color="000000"/>
            </w:tcBorders>
            <w:shd w:val="clear" w:color="000000" w:fill="B8CCE4" w:themeFill="accent1"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Exclusive</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Odstranění Arzenu</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LT60</w:t>
            </w:r>
            <w:r>
              <w:rPr>
                <w:rFonts w:ascii="Calibri" w:eastAsia="Times New Roman" w:hAnsi="Calibri" w:cs="Calibri"/>
                <w:color w:val="000000"/>
                <w:sz w:val="12"/>
                <w:szCs w:val="12"/>
                <w:vertAlign w:val="superscript"/>
                <w:lang w:val="en-GB" w:eastAsia="en-GB"/>
              </w:rPr>
              <w:t>1)</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As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133-000</w:t>
            </w:r>
          </w:p>
        </w:tc>
        <w:tc>
          <w:tcPr>
            <w:tcW w:w="2297" w:type="dxa"/>
            <w:tcBorders>
              <w:top w:val="single" w:sz="4" w:space="0" w:color="000000"/>
              <w:left w:val="single" w:sz="4" w:space="0" w:color="000000"/>
              <w:bottom w:val="single" w:sz="4" w:space="0" w:color="000000"/>
              <w:right w:val="single" w:sz="4" w:space="0" w:color="000000"/>
            </w:tcBorders>
            <w:shd w:val="clear" w:color="000000" w:fill="B8CCE4" w:themeFill="accent1"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Exclusive</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Odstranění zákalu NTU</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SNT-X</w:t>
            </w:r>
            <w:r>
              <w:rPr>
                <w:rFonts w:ascii="Calibri" w:eastAsia="Times New Roman" w:hAnsi="Calibri" w:cs="Calibri"/>
                <w:color w:val="000000"/>
                <w:sz w:val="12"/>
                <w:szCs w:val="12"/>
                <w:vertAlign w:val="superscript"/>
                <w:lang w:val="en-GB" w:eastAsia="en-GB"/>
              </w:rPr>
              <w:t>8)</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MF/UF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134-000</w:t>
            </w:r>
          </w:p>
        </w:tc>
        <w:tc>
          <w:tcPr>
            <w:tcW w:w="2297" w:type="dxa"/>
            <w:tcBorders>
              <w:top w:val="single" w:sz="4" w:space="0" w:color="000000"/>
              <w:left w:val="single" w:sz="4" w:space="0" w:color="000000"/>
              <w:bottom w:val="single" w:sz="4" w:space="0" w:color="000000"/>
              <w:right w:val="single" w:sz="4" w:space="0" w:color="000000"/>
            </w:tcBorders>
            <w:shd w:val="clear" w:color="000000" w:fill="B8CCE4" w:themeFill="accent1"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Exclusive</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Železo a mangan-snížení</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ECM_P</w:t>
            </w:r>
            <w:r>
              <w:rPr>
                <w:rFonts w:ascii="Calibri" w:eastAsia="Times New Roman" w:hAnsi="Calibri" w:cs="Calibri"/>
                <w:color w:val="000000"/>
                <w:sz w:val="12"/>
                <w:szCs w:val="12"/>
                <w:vertAlign w:val="superscript"/>
                <w:lang w:val="en-GB" w:eastAsia="en-GB"/>
              </w:rPr>
              <w:t>3)</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Fe + Mn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135-000</w:t>
            </w:r>
          </w:p>
        </w:tc>
        <w:tc>
          <w:tcPr>
            <w:tcW w:w="2297" w:type="dxa"/>
            <w:tcBorders>
              <w:top w:val="single" w:sz="4" w:space="0" w:color="000000"/>
              <w:left w:val="single" w:sz="4" w:space="0" w:color="000000"/>
              <w:bottom w:val="single" w:sz="4" w:space="0" w:color="000000"/>
              <w:right w:val="single" w:sz="4" w:space="0" w:color="000000"/>
            </w:tcBorders>
            <w:shd w:val="clear" w:color="000000" w:fill="B8CCE4" w:themeFill="accent1"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Exclusive</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Vápník, Hořčík, Železo, Amoniak-snížení</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ECM_A</w:t>
            </w:r>
            <w:r>
              <w:rPr>
                <w:rFonts w:ascii="Calibri" w:eastAsia="Times New Roman" w:hAnsi="Calibri" w:cs="Calibri"/>
                <w:color w:val="000000"/>
                <w:sz w:val="12"/>
                <w:szCs w:val="12"/>
                <w:vertAlign w:val="superscript"/>
                <w:lang w:val="en-GB" w:eastAsia="en-GB"/>
              </w:rPr>
              <w:t>4)</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Ca, Mg, Fe, NH4</w:t>
            </w:r>
            <w:r>
              <w:rPr>
                <w:rFonts w:ascii="Calibri" w:eastAsia="Times New Roman" w:hAnsi="Calibri" w:cs="Calibri"/>
                <w:color w:val="000000"/>
                <w:sz w:val="12"/>
                <w:szCs w:val="12"/>
                <w:vertAlign w:val="superscript"/>
                <w:lang w:val="en-GB" w:eastAsia="en-GB"/>
              </w:rPr>
              <w:t xml:space="preserve">+   </w:t>
            </w:r>
            <w:r>
              <w:rPr>
                <w:rFonts w:ascii="Calibri" w:eastAsia="Times New Roman" w:hAnsi="Calibri" w:cs="Calibri"/>
                <w:color w:val="000000"/>
                <w:sz w:val="12"/>
                <w:szCs w:val="12"/>
                <w:lang w:val="en-GB" w:eastAsia="en-GB"/>
              </w:rPr>
              <w:t>↓</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136-000</w:t>
            </w:r>
          </w:p>
        </w:tc>
        <w:tc>
          <w:tcPr>
            <w:tcW w:w="2297" w:type="dxa"/>
            <w:tcBorders>
              <w:top w:val="single" w:sz="4" w:space="0" w:color="000000"/>
              <w:left w:val="single" w:sz="4" w:space="0" w:color="000000"/>
              <w:bottom w:val="single" w:sz="4" w:space="0" w:color="000000"/>
              <w:right w:val="single" w:sz="4" w:space="0" w:color="000000"/>
            </w:tcBorders>
            <w:shd w:val="clear" w:color="000000" w:fill="B8CCE4" w:themeFill="accent1"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Exclusive</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Stabilizace pH+</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CRS_X</w:t>
            </w:r>
            <w:r>
              <w:rPr>
                <w:rFonts w:ascii="Calibri" w:eastAsia="Times New Roman" w:hAnsi="Calibri" w:cs="Calibri"/>
                <w:color w:val="000000"/>
                <w:sz w:val="12"/>
                <w:szCs w:val="12"/>
                <w:vertAlign w:val="superscript"/>
                <w:lang w:val="en-GB" w:eastAsia="en-GB"/>
              </w:rPr>
              <w:t>5)</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373A3C"/>
                <w:sz w:val="12"/>
                <w:szCs w:val="12"/>
                <w:lang w:val="en-GB" w:eastAsia="en-GB"/>
              </w:rPr>
            </w:pPr>
            <w:r>
              <w:rPr>
                <w:rFonts w:ascii="Calibri" w:eastAsia="Times New Roman" w:hAnsi="Calibri" w:cs="Calibri"/>
                <w:color w:val="373A3C"/>
                <w:sz w:val="12"/>
                <w:szCs w:val="12"/>
                <w:lang w:val="en-GB" w:eastAsia="en-GB"/>
              </w:rPr>
              <w:t>MgO; 4,5 - 6,0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137-000</w:t>
            </w:r>
          </w:p>
        </w:tc>
        <w:tc>
          <w:tcPr>
            <w:tcW w:w="2297" w:type="dxa"/>
            <w:tcBorders>
              <w:top w:val="single" w:sz="4" w:space="0" w:color="000000"/>
              <w:left w:val="single" w:sz="4" w:space="0" w:color="000000"/>
              <w:bottom w:val="single" w:sz="4" w:space="0" w:color="000000"/>
              <w:right w:val="single" w:sz="4" w:space="0" w:color="000000"/>
            </w:tcBorders>
            <w:shd w:val="clear" w:color="000000" w:fill="B8CCE4" w:themeFill="accent1"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Exclusive</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Stabilizace pH++</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CCT_E</w:t>
            </w:r>
            <w:r>
              <w:rPr>
                <w:rFonts w:ascii="Calibri" w:eastAsia="Times New Roman" w:hAnsi="Calibri" w:cs="Calibri"/>
                <w:color w:val="000000"/>
                <w:sz w:val="12"/>
                <w:szCs w:val="12"/>
                <w:vertAlign w:val="superscript"/>
                <w:lang w:val="en-GB" w:eastAsia="en-GB"/>
              </w:rPr>
              <w:t>6)</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373A3C"/>
                <w:sz w:val="12"/>
                <w:szCs w:val="12"/>
                <w:lang w:val="en-GB" w:eastAsia="en-GB"/>
              </w:rPr>
            </w:pPr>
            <w:r>
              <w:rPr>
                <w:rFonts w:ascii="Calibri" w:eastAsia="Times New Roman" w:hAnsi="Calibri" w:cs="Calibri"/>
                <w:color w:val="373A3C"/>
                <w:sz w:val="12"/>
                <w:szCs w:val="12"/>
                <w:lang w:val="en-GB" w:eastAsia="en-GB"/>
              </w:rPr>
              <w:t>CaCO</w:t>
            </w:r>
            <w:r>
              <w:rPr>
                <w:rFonts w:ascii="Calibri" w:eastAsia="Times New Roman" w:hAnsi="Calibri" w:cs="Calibri"/>
                <w:color w:val="373A3C"/>
                <w:sz w:val="12"/>
                <w:szCs w:val="12"/>
                <w:vertAlign w:val="subscript"/>
                <w:lang w:val="en-GB" w:eastAsia="en-GB"/>
              </w:rPr>
              <w:t>3</w:t>
            </w:r>
            <w:r>
              <w:rPr>
                <w:rFonts w:ascii="Calibri" w:eastAsia="Times New Roman" w:hAnsi="Calibri" w:cs="Calibri"/>
                <w:color w:val="373A3C"/>
                <w:sz w:val="12"/>
                <w:szCs w:val="12"/>
                <w:lang w:val="en-GB" w:eastAsia="en-GB"/>
              </w:rPr>
              <w:t>, MgCO</w:t>
            </w:r>
            <w:r>
              <w:rPr>
                <w:rFonts w:ascii="Calibri" w:eastAsia="Times New Roman" w:hAnsi="Calibri" w:cs="Calibri"/>
                <w:color w:val="373A3C"/>
                <w:sz w:val="12"/>
                <w:szCs w:val="12"/>
                <w:vertAlign w:val="subscript"/>
                <w:lang w:val="en-GB" w:eastAsia="en-GB"/>
              </w:rPr>
              <w:t>3</w:t>
            </w:r>
            <w:r>
              <w:rPr>
                <w:rFonts w:ascii="Calibri" w:eastAsia="Times New Roman" w:hAnsi="Calibri" w:cs="Calibri"/>
                <w:color w:val="373A3C"/>
                <w:sz w:val="12"/>
                <w:szCs w:val="12"/>
                <w:lang w:val="en-GB" w:eastAsia="en-GB"/>
              </w:rPr>
              <w:t>;</w:t>
            </w:r>
            <w:r>
              <w:rPr>
                <w:rFonts w:ascii="Calibri" w:eastAsia="Times New Roman" w:hAnsi="Calibri" w:cs="Calibri"/>
                <w:color w:val="373A3C"/>
                <w:sz w:val="12"/>
                <w:szCs w:val="12"/>
                <w:vertAlign w:val="subscript"/>
                <w:lang w:val="en-GB" w:eastAsia="en-GB"/>
              </w:rPr>
              <w:t xml:space="preserve"> </w:t>
            </w:r>
            <w:r>
              <w:rPr>
                <w:rFonts w:ascii="Calibri" w:eastAsia="Times New Roman" w:hAnsi="Calibri" w:cs="Calibri"/>
                <w:color w:val="373A3C"/>
                <w:sz w:val="12"/>
                <w:szCs w:val="12"/>
                <w:lang w:val="en-GB" w:eastAsia="en-GB"/>
              </w:rPr>
              <w:t>5,0 - 7,0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138-000</w:t>
            </w:r>
          </w:p>
        </w:tc>
        <w:tc>
          <w:tcPr>
            <w:tcW w:w="2297" w:type="dxa"/>
            <w:tcBorders>
              <w:top w:val="single" w:sz="4" w:space="0" w:color="000000"/>
              <w:left w:val="single" w:sz="4" w:space="0" w:color="000000"/>
              <w:bottom w:val="single" w:sz="4" w:space="0" w:color="000000"/>
              <w:right w:val="single" w:sz="4" w:space="0" w:color="000000"/>
            </w:tcBorders>
            <w:shd w:val="clear" w:color="000000" w:fill="B8CCE4" w:themeFill="accent1"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Exclusive</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Snížení  izotopů, nuklidů</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TMC</w:t>
            </w:r>
            <w:r>
              <w:rPr>
                <w:rFonts w:ascii="Calibri" w:eastAsia="Times New Roman" w:hAnsi="Calibri" w:cs="Calibri"/>
                <w:color w:val="000000"/>
                <w:sz w:val="12"/>
                <w:szCs w:val="12"/>
                <w:vertAlign w:val="superscript"/>
                <w:lang w:val="en-GB" w:eastAsia="en-GB"/>
              </w:rPr>
              <w:t>9)</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SHG_ C70+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139-000</w:t>
            </w:r>
          </w:p>
        </w:tc>
        <w:tc>
          <w:tcPr>
            <w:tcW w:w="2297" w:type="dxa"/>
            <w:tcBorders>
              <w:top w:val="single" w:sz="4" w:space="0" w:color="000000"/>
              <w:left w:val="single" w:sz="4" w:space="0" w:color="000000"/>
              <w:bottom w:val="single" w:sz="4" w:space="0" w:color="000000"/>
              <w:right w:val="single" w:sz="4" w:space="0" w:color="000000"/>
            </w:tcBorders>
            <w:shd w:val="clear" w:color="000000" w:fill="B8CCE4" w:themeFill="accent1"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Exclusive</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Snížení dusičnanů</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PPA2</w:t>
            </w:r>
            <w:r>
              <w:rPr>
                <w:rFonts w:ascii="Calibri" w:eastAsia="Times New Roman" w:hAnsi="Calibri" w:cs="Calibri"/>
                <w:color w:val="000000"/>
                <w:sz w:val="12"/>
                <w:szCs w:val="12"/>
                <w:vertAlign w:val="superscript"/>
                <w:lang w:val="en-GB" w:eastAsia="en-GB"/>
              </w:rPr>
              <w:t>10)</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color w:val="202124"/>
                <w:sz w:val="12"/>
                <w:szCs w:val="12"/>
                <w:lang w:val="en-GB" w:eastAsia="en-GB"/>
              </w:rPr>
            </w:pPr>
            <w:r>
              <w:rPr>
                <w:rFonts w:ascii="Calibri" w:eastAsia="Times New Roman" w:hAnsi="Calibri" w:cs="Calibri"/>
                <w:b/>
                <w:bCs/>
                <w:color w:val="202124"/>
                <w:sz w:val="12"/>
                <w:szCs w:val="12"/>
                <w:lang w:val="en-GB" w:eastAsia="en-GB"/>
              </w:rPr>
              <w:t> </w:t>
            </w:r>
            <w:r>
              <w:rPr>
                <w:rFonts w:ascii="Calibri" w:eastAsia="Times New Roman" w:hAnsi="Calibri" w:cs="Calibri"/>
                <w:color w:val="202124"/>
                <w:sz w:val="12"/>
                <w:szCs w:val="12"/>
                <w:lang w:val="en-GB" w:eastAsia="en-GB"/>
              </w:rPr>
              <w:t>NO</w:t>
            </w:r>
            <w:r>
              <w:rPr>
                <w:rFonts w:ascii="Calibri" w:eastAsia="Times New Roman" w:hAnsi="Calibri" w:cs="Calibri"/>
                <w:color w:val="202124"/>
                <w:sz w:val="12"/>
                <w:szCs w:val="12"/>
                <w:vertAlign w:val="subscript"/>
                <w:lang w:val="en-GB" w:eastAsia="en-GB"/>
              </w:rPr>
              <w:t>3</w:t>
            </w:r>
            <w:r>
              <w:rPr>
                <w:rFonts w:ascii="Calibri" w:eastAsia="Times New Roman" w:hAnsi="Calibri" w:cs="Calibri"/>
                <w:color w:val="202124"/>
                <w:sz w:val="12"/>
                <w:szCs w:val="12"/>
                <w:lang w:val="en-GB" w:eastAsia="en-GB"/>
              </w:rPr>
              <w:t>-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lastRenderedPageBreak/>
              <w:t>1310-000</w:t>
            </w:r>
          </w:p>
        </w:tc>
        <w:tc>
          <w:tcPr>
            <w:tcW w:w="2297" w:type="dxa"/>
            <w:tcBorders>
              <w:top w:val="single" w:sz="4" w:space="0" w:color="000000"/>
              <w:left w:val="single" w:sz="4" w:space="0" w:color="000000"/>
              <w:bottom w:val="single" w:sz="8" w:space="0" w:color="000000"/>
              <w:right w:val="single" w:sz="4" w:space="0" w:color="000000"/>
            </w:tcBorders>
            <w:shd w:val="clear" w:color="000000" w:fill="B8CCE4" w:themeFill="accent1"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Exclusive</w:t>
            </w:r>
          </w:p>
        </w:tc>
        <w:tc>
          <w:tcPr>
            <w:tcW w:w="2753" w:type="dxa"/>
            <w:gridSpan w:val="3"/>
            <w:tcBorders>
              <w:top w:val="single" w:sz="4" w:space="0" w:color="000000"/>
              <w:left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Ztvrzování vody</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SMD_K0</w:t>
            </w:r>
            <w:r>
              <w:rPr>
                <w:rFonts w:ascii="Calibri" w:eastAsia="Times New Roman" w:hAnsi="Calibri" w:cs="Calibri"/>
                <w:color w:val="000000"/>
                <w:sz w:val="12"/>
                <w:szCs w:val="12"/>
                <w:vertAlign w:val="superscript"/>
                <w:lang w:val="en-GB" w:eastAsia="en-GB"/>
              </w:rPr>
              <w:t>11)</w:t>
            </w:r>
          </w:p>
        </w:tc>
        <w:tc>
          <w:tcPr>
            <w:tcW w:w="1901" w:type="dxa"/>
            <w:gridSpan w:val="2"/>
            <w:tcBorders>
              <w:top w:val="single" w:sz="4" w:space="0" w:color="000000"/>
              <w:left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202124"/>
                <w:sz w:val="12"/>
                <w:szCs w:val="12"/>
                <w:lang w:val="en-GB" w:eastAsia="en-GB"/>
              </w:rPr>
            </w:pPr>
            <w:r>
              <w:rPr>
                <w:rFonts w:ascii="Calibri" w:eastAsia="Times New Roman" w:hAnsi="Calibri" w:cs="Calibri"/>
                <w:color w:val="202124"/>
                <w:sz w:val="12"/>
                <w:szCs w:val="12"/>
                <w:lang w:val="en-GB" w:eastAsia="en-GB"/>
              </w:rPr>
              <w:t>CaCO</w:t>
            </w:r>
            <w:r>
              <w:rPr>
                <w:rFonts w:ascii="Calibri" w:eastAsia="Times New Roman" w:hAnsi="Calibri" w:cs="Calibri"/>
                <w:color w:val="202124"/>
                <w:sz w:val="12"/>
                <w:szCs w:val="12"/>
                <w:vertAlign w:val="subscript"/>
                <w:lang w:val="en-GB" w:eastAsia="en-GB"/>
              </w:rPr>
              <w:t xml:space="preserve">3 </w:t>
            </w:r>
            <w:r>
              <w:rPr>
                <w:rFonts w:ascii="Calibri" w:eastAsia="Times New Roman" w:hAnsi="Calibri" w:cs="Calibri"/>
                <w:color w:val="202124"/>
                <w:sz w:val="12"/>
                <w:szCs w:val="12"/>
                <w:lang w:val="en-GB" w:eastAsia="en-GB"/>
              </w:rPr>
              <w:t>+ MgO   ↑</w:t>
            </w:r>
          </w:p>
        </w:tc>
        <w:tc>
          <w:tcPr>
            <w:tcW w:w="2167" w:type="dxa"/>
            <w:gridSpan w:val="5"/>
            <w:tcBorders>
              <w:top w:val="single" w:sz="4" w:space="0" w:color="000000"/>
              <w:left w:val="single" w:sz="4" w:space="0" w:color="000000"/>
              <w:bottom w:val="single" w:sz="8"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Úprava vody z VVŘ</w:t>
            </w:r>
          </w:p>
        </w:tc>
        <w:tc>
          <w:tcPr>
            <w:tcW w:w="222" w:type="dxa"/>
          </w:tcPr>
          <w:p w:rsidR="00287B1D" w:rsidRDefault="00287B1D"/>
        </w:tc>
      </w:tr>
      <w:tr w:rsidR="00287B1D" w:rsidTr="00766381">
        <w:trPr>
          <w:trHeight w:val="300"/>
        </w:trPr>
        <w:tc>
          <w:tcPr>
            <w:tcW w:w="833" w:type="dxa"/>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141-000</w:t>
            </w:r>
          </w:p>
        </w:tc>
        <w:tc>
          <w:tcPr>
            <w:tcW w:w="2297" w:type="dxa"/>
            <w:tcBorders>
              <w:top w:val="single" w:sz="8" w:space="0" w:color="000000"/>
              <w:bottom w:val="single" w:sz="4" w:space="0" w:color="000000"/>
              <w:right w:val="single" w:sz="4" w:space="0" w:color="000000"/>
            </w:tcBorders>
            <w:shd w:val="clear" w:color="000000" w:fill="F2DCDB"/>
            <w:vAlign w:val="center"/>
          </w:tcPr>
          <w:p w:rsidR="00287B1D" w:rsidRDefault="00BB6CB9">
            <w:pPr>
              <w:spacing w:after="0" w:line="240" w:lineRule="auto"/>
              <w:rPr>
                <w:rFonts w:ascii="Calibri" w:eastAsia="Times New Roman" w:hAnsi="Calibri" w:cs="Calibri"/>
                <w:b/>
                <w:bCs/>
                <w:color w:val="000000"/>
                <w:sz w:val="14"/>
                <w:szCs w:val="14"/>
                <w:lang w:val="en-GB" w:eastAsia="en-GB"/>
              </w:rPr>
            </w:pPr>
            <w:r>
              <w:rPr>
                <w:rFonts w:ascii="Calibri" w:eastAsia="Times New Roman" w:hAnsi="Calibri" w:cs="Calibri"/>
                <w:b/>
                <w:bCs/>
                <w:color w:val="000000"/>
                <w:sz w:val="14"/>
                <w:szCs w:val="14"/>
                <w:lang w:val="en-GB" w:eastAsia="en-GB"/>
              </w:rPr>
              <w:t xml:space="preserve">AQ3 Mini – Café Standard </w:t>
            </w:r>
            <w:r>
              <w:rPr>
                <w:rFonts w:ascii="Calibri" w:eastAsia="Times New Roman" w:hAnsi="Calibri" w:cs="Calibri"/>
                <w:b/>
                <w:bCs/>
                <w:color w:val="000000"/>
                <w:sz w:val="14"/>
                <w:szCs w:val="14"/>
                <w:vertAlign w:val="superscript"/>
                <w:lang w:val="en-GB" w:eastAsia="en-GB"/>
              </w:rPr>
              <w:t>11)</w:t>
            </w:r>
          </w:p>
        </w:tc>
        <w:tc>
          <w:tcPr>
            <w:tcW w:w="2753" w:type="dxa"/>
            <w:gridSpan w:val="3"/>
            <w:tcBorders>
              <w:top w:val="single" w:sz="8"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b/>
                <w:bCs/>
                <w:color w:val="000000"/>
                <w:sz w:val="12"/>
                <w:szCs w:val="12"/>
                <w:lang w:val="en-GB" w:eastAsia="en-GB"/>
              </w:rPr>
            </w:pPr>
            <w:r>
              <w:rPr>
                <w:rFonts w:ascii="Calibri" w:eastAsia="Times New Roman" w:hAnsi="Calibri" w:cs="Calibri"/>
                <w:b/>
                <w:bCs/>
                <w:color w:val="000000"/>
                <w:sz w:val="12"/>
                <w:szCs w:val="12"/>
                <w:lang w:val="en-GB" w:eastAsia="en-GB"/>
              </w:rPr>
              <w:t>Tvrdá voda-změkčení</w:t>
            </w:r>
            <w:r>
              <w:rPr>
                <w:rFonts w:ascii="Calibri" w:eastAsia="Times New Roman" w:hAnsi="Calibri" w:cs="Calibri"/>
                <w:color w:val="000000"/>
                <w:sz w:val="12"/>
                <w:szCs w:val="12"/>
                <w:vertAlign w:val="superscript"/>
                <w:lang w:val="en-GB" w:eastAsia="en-GB"/>
              </w:rPr>
              <w:t>12)</w:t>
            </w:r>
          </w:p>
        </w:tc>
        <w:tc>
          <w:tcPr>
            <w:tcW w:w="837" w:type="dxa"/>
            <w:tcBorders>
              <w:top w:val="single" w:sz="8"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PPC2</w:t>
            </w:r>
            <w:r>
              <w:rPr>
                <w:rFonts w:ascii="Calibri" w:eastAsia="Times New Roman" w:hAnsi="Calibri" w:cs="Calibri"/>
                <w:color w:val="000000"/>
                <w:sz w:val="12"/>
                <w:szCs w:val="12"/>
                <w:vertAlign w:val="superscript"/>
                <w:lang w:val="en-GB" w:eastAsia="en-GB"/>
              </w:rPr>
              <w:t>2)</w:t>
            </w:r>
          </w:p>
        </w:tc>
        <w:tc>
          <w:tcPr>
            <w:tcW w:w="1901" w:type="dxa"/>
            <w:gridSpan w:val="2"/>
            <w:tcBorders>
              <w:top w:val="single" w:sz="8"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Ca + Mg   ↓</w:t>
            </w:r>
          </w:p>
        </w:tc>
        <w:tc>
          <w:tcPr>
            <w:tcW w:w="1471" w:type="dxa"/>
            <w:gridSpan w:val="3"/>
            <w:tcBorders>
              <w:top w:val="single" w:sz="8" w:space="0" w:color="000000"/>
              <w:bottom w:val="single" w:sz="4" w:space="0" w:color="000000"/>
            </w:tcBorders>
            <w:shd w:val="clear" w:color="auto" w:fill="auto"/>
            <w:vAlign w:val="bottom"/>
          </w:tcPr>
          <w:p w:rsidR="00287B1D" w:rsidRDefault="00BB6CB9">
            <w:pPr>
              <w:spacing w:after="0" w:line="240" w:lineRule="auto"/>
              <w:ind w:right="-1185"/>
              <w:rPr>
                <w:rFonts w:ascii="Calibri" w:eastAsia="Times New Roman" w:hAnsi="Calibri" w:cs="Calibri"/>
                <w:color w:val="000000"/>
                <w:sz w:val="12"/>
                <w:szCs w:val="12"/>
                <w:lang w:val="en-GB" w:eastAsia="en-GB"/>
              </w:rPr>
            </w:pPr>
            <w:r>
              <w:rPr>
                <w:rFonts w:ascii="Calibri" w:eastAsia="Times New Roman" w:hAnsi="Calibri" w:cs="Calibri"/>
                <w:b/>
                <w:bCs/>
                <w:color w:val="00B050"/>
                <w:sz w:val="12"/>
                <w:szCs w:val="12"/>
                <w:lang w:val="en-GB" w:eastAsia="en-GB"/>
              </w:rPr>
              <w:t>úprava vody pro kávovary</w:t>
            </w:r>
          </w:p>
        </w:tc>
        <w:tc>
          <w:tcPr>
            <w:tcW w:w="504" w:type="dxa"/>
            <w:tcBorders>
              <w:top w:val="single" w:sz="8" w:space="0" w:color="000000"/>
              <w:bottom w:val="single" w:sz="4" w:space="0" w:color="000000"/>
            </w:tcBorders>
            <w:shd w:val="clear" w:color="auto" w:fill="auto"/>
            <w:vAlign w:val="bottom"/>
          </w:tcPr>
          <w:p w:rsidR="00287B1D" w:rsidRDefault="00BB6CB9">
            <w:pPr>
              <w:spacing w:after="0" w:line="240" w:lineRule="auto"/>
              <w:rPr>
                <w:rFonts w:ascii="Calibri" w:eastAsia="Times New Roman" w:hAnsi="Calibri" w:cs="Calibri"/>
                <w:b/>
                <w:color w:val="000000"/>
                <w:sz w:val="12"/>
                <w:szCs w:val="12"/>
                <w:lang w:val="en-GB" w:eastAsia="en-GB"/>
              </w:rPr>
            </w:pPr>
            <w:r>
              <w:rPr>
                <w:rFonts w:ascii="Calibri" w:eastAsia="Times New Roman" w:hAnsi="Calibri" w:cs="Calibri"/>
                <w:b/>
                <w:color w:val="00B050"/>
                <w:sz w:val="12"/>
                <w:szCs w:val="12"/>
                <w:lang w:val="en-GB" w:eastAsia="en-GB"/>
              </w:rPr>
              <w:t xml:space="preserve"> </w:t>
            </w:r>
          </w:p>
        </w:tc>
        <w:tc>
          <w:tcPr>
            <w:tcW w:w="414" w:type="dxa"/>
            <w:gridSpan w:val="2"/>
            <w:tcBorders>
              <w:top w:val="single" w:sz="8"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r>
      <w:tr w:rsidR="00287B1D" w:rsidTr="00766381">
        <w:trPr>
          <w:trHeight w:val="300"/>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142-000</w:t>
            </w:r>
          </w:p>
        </w:tc>
        <w:tc>
          <w:tcPr>
            <w:tcW w:w="2297" w:type="dxa"/>
            <w:tcBorders>
              <w:top w:val="single" w:sz="4" w:space="0" w:color="000000"/>
              <w:left w:val="single" w:sz="4" w:space="0" w:color="000000"/>
              <w:bottom w:val="single" w:sz="4" w:space="0" w:color="000000"/>
              <w:right w:val="single" w:sz="4" w:space="0" w:color="000000"/>
            </w:tcBorders>
            <w:shd w:val="clear" w:color="000000" w:fill="F2DCDB"/>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Café Standard</w:t>
            </w:r>
          </w:p>
        </w:tc>
        <w:tc>
          <w:tcPr>
            <w:tcW w:w="2753"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Odstranění Arzenu</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LT60</w:t>
            </w:r>
            <w:r>
              <w:rPr>
                <w:rFonts w:ascii="Calibri" w:eastAsia="Times New Roman" w:hAnsi="Calibri" w:cs="Calibri"/>
                <w:color w:val="000000"/>
                <w:sz w:val="12"/>
                <w:szCs w:val="12"/>
                <w:vertAlign w:val="superscript"/>
                <w:lang w:val="en-GB" w:eastAsia="en-GB"/>
              </w:rPr>
              <w:t>1)</w:t>
            </w:r>
          </w:p>
        </w:tc>
        <w:tc>
          <w:tcPr>
            <w:tcW w:w="1901" w:type="dxa"/>
            <w:gridSpan w:val="2"/>
            <w:tcBorders>
              <w:top w:val="single" w:sz="4" w:space="0" w:color="000000"/>
              <w:left w:val="single" w:sz="4" w:space="0" w:color="000000"/>
              <w:bottom w:val="single" w:sz="4" w:space="0" w:color="000000"/>
              <w:right w:val="single" w:sz="4" w:space="0" w:color="000000"/>
            </w:tcBorders>
            <w:shd w:val="clear" w:color="000000" w:fill="FFFFFF"/>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As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r>
              <w:rPr>
                <w:rFonts w:ascii="Calibri" w:eastAsia="Times New Roman" w:hAnsi="Calibri" w:cs="Calibri"/>
                <w:b/>
                <w:bCs/>
                <w:color w:val="00B050"/>
                <w:sz w:val="12"/>
                <w:szCs w:val="12"/>
                <w:lang w:val="en-GB" w:eastAsia="en-GB"/>
              </w:rPr>
              <w:t>úprava vody pro kávovary</w:t>
            </w:r>
          </w:p>
        </w:tc>
        <w:tc>
          <w:tcPr>
            <w:tcW w:w="222" w:type="dxa"/>
          </w:tcPr>
          <w:p w:rsidR="00287B1D" w:rsidRDefault="00287B1D"/>
        </w:tc>
      </w:tr>
      <w:tr w:rsidR="00287B1D" w:rsidTr="00766381">
        <w:trPr>
          <w:trHeight w:val="300"/>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143-000</w:t>
            </w:r>
          </w:p>
        </w:tc>
        <w:tc>
          <w:tcPr>
            <w:tcW w:w="2297" w:type="dxa"/>
            <w:tcBorders>
              <w:top w:val="single" w:sz="4" w:space="0" w:color="000000"/>
              <w:left w:val="single" w:sz="4" w:space="0" w:color="000000"/>
              <w:bottom w:val="single" w:sz="4" w:space="0" w:color="000000"/>
              <w:right w:val="single" w:sz="4" w:space="0" w:color="000000"/>
            </w:tcBorders>
            <w:shd w:val="clear" w:color="000000" w:fill="F2DCDB"/>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Café Standard</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Odstranění zákalu NTU</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SNT-X</w:t>
            </w:r>
            <w:r>
              <w:rPr>
                <w:rFonts w:ascii="Calibri" w:eastAsia="Times New Roman" w:hAnsi="Calibri" w:cs="Calibri"/>
                <w:color w:val="000000"/>
                <w:sz w:val="12"/>
                <w:szCs w:val="12"/>
                <w:vertAlign w:val="superscript"/>
                <w:lang w:val="en-GB" w:eastAsia="en-GB"/>
              </w:rPr>
              <w:t>8)</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MF/UF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B050"/>
                <w:sz w:val="12"/>
                <w:szCs w:val="12"/>
                <w:lang w:val="en-GB" w:eastAsia="en-GB"/>
              </w:rPr>
              <w:t>úprava vody pro kávovary</w:t>
            </w:r>
          </w:p>
        </w:tc>
        <w:tc>
          <w:tcPr>
            <w:tcW w:w="222" w:type="dxa"/>
          </w:tcPr>
          <w:p w:rsidR="00287B1D" w:rsidRDefault="00287B1D"/>
        </w:tc>
      </w:tr>
      <w:tr w:rsidR="00287B1D" w:rsidTr="00766381">
        <w:trPr>
          <w:trHeight w:val="300"/>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144-000</w:t>
            </w:r>
          </w:p>
        </w:tc>
        <w:tc>
          <w:tcPr>
            <w:tcW w:w="2297" w:type="dxa"/>
            <w:tcBorders>
              <w:top w:val="single" w:sz="4" w:space="0" w:color="000000"/>
              <w:left w:val="single" w:sz="4" w:space="0" w:color="000000"/>
              <w:bottom w:val="single" w:sz="4" w:space="0" w:color="000000"/>
              <w:right w:val="single" w:sz="4" w:space="0" w:color="000000"/>
            </w:tcBorders>
            <w:shd w:val="clear" w:color="000000" w:fill="F2DCDB"/>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Café Standard</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Železo a mangan-snížení</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ECM_P</w:t>
            </w:r>
            <w:r>
              <w:rPr>
                <w:rFonts w:ascii="Calibri" w:eastAsia="Times New Roman" w:hAnsi="Calibri" w:cs="Calibri"/>
                <w:color w:val="000000"/>
                <w:sz w:val="12"/>
                <w:szCs w:val="12"/>
                <w:vertAlign w:val="superscript"/>
                <w:lang w:val="en-GB" w:eastAsia="en-GB"/>
              </w:rPr>
              <w:t>3)</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Fe + Mn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B050"/>
                <w:sz w:val="12"/>
                <w:szCs w:val="12"/>
                <w:lang w:val="en-GB" w:eastAsia="en-GB"/>
              </w:rPr>
              <w:t>úprava vody pro kávovary</w:t>
            </w:r>
          </w:p>
        </w:tc>
        <w:tc>
          <w:tcPr>
            <w:tcW w:w="222" w:type="dxa"/>
          </w:tcPr>
          <w:p w:rsidR="00287B1D" w:rsidRDefault="00287B1D"/>
        </w:tc>
      </w:tr>
      <w:tr w:rsidR="00287B1D" w:rsidTr="00766381">
        <w:trPr>
          <w:trHeight w:val="300"/>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145-000</w:t>
            </w:r>
          </w:p>
        </w:tc>
        <w:tc>
          <w:tcPr>
            <w:tcW w:w="2297" w:type="dxa"/>
            <w:tcBorders>
              <w:top w:val="single" w:sz="4" w:space="0" w:color="000000"/>
              <w:left w:val="single" w:sz="4" w:space="0" w:color="000000"/>
              <w:bottom w:val="single" w:sz="4" w:space="0" w:color="000000"/>
              <w:right w:val="single" w:sz="4" w:space="0" w:color="000000"/>
            </w:tcBorders>
            <w:shd w:val="clear" w:color="000000" w:fill="F2DCDB"/>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Café Standard</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Vápník, Hořčík, Železo, Amoniak-snížení</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ECM_A</w:t>
            </w:r>
            <w:r>
              <w:rPr>
                <w:rFonts w:ascii="Calibri" w:eastAsia="Times New Roman" w:hAnsi="Calibri" w:cs="Calibri"/>
                <w:color w:val="000000"/>
                <w:sz w:val="12"/>
                <w:szCs w:val="12"/>
                <w:vertAlign w:val="superscript"/>
                <w:lang w:val="en-GB" w:eastAsia="en-GB"/>
              </w:rPr>
              <w:t>4)</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Ca, Mg, Fe, NH4</w:t>
            </w:r>
            <w:r>
              <w:rPr>
                <w:rFonts w:ascii="Calibri" w:eastAsia="Times New Roman" w:hAnsi="Calibri" w:cs="Calibri"/>
                <w:color w:val="000000"/>
                <w:sz w:val="12"/>
                <w:szCs w:val="12"/>
                <w:vertAlign w:val="superscript"/>
                <w:lang w:val="en-GB" w:eastAsia="en-GB"/>
              </w:rPr>
              <w:t xml:space="preserve">+   </w:t>
            </w:r>
            <w:r>
              <w:rPr>
                <w:rFonts w:ascii="Calibri" w:eastAsia="Times New Roman" w:hAnsi="Calibri" w:cs="Calibri"/>
                <w:color w:val="000000"/>
                <w:sz w:val="12"/>
                <w:szCs w:val="12"/>
                <w:lang w:val="en-GB" w:eastAsia="en-GB"/>
              </w:rPr>
              <w:t>↓</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r>
              <w:rPr>
                <w:rFonts w:ascii="Calibri" w:eastAsia="Times New Roman" w:hAnsi="Calibri" w:cs="Calibri"/>
                <w:b/>
                <w:bCs/>
                <w:color w:val="00B050"/>
                <w:sz w:val="12"/>
                <w:szCs w:val="12"/>
                <w:lang w:val="en-GB" w:eastAsia="en-GB"/>
              </w:rPr>
              <w:t>úprava vody pro kávovary</w:t>
            </w:r>
          </w:p>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146-000</w:t>
            </w:r>
          </w:p>
        </w:tc>
        <w:tc>
          <w:tcPr>
            <w:tcW w:w="2297" w:type="dxa"/>
            <w:tcBorders>
              <w:top w:val="single" w:sz="4" w:space="0" w:color="000000"/>
              <w:left w:val="single" w:sz="4" w:space="0" w:color="000000"/>
              <w:bottom w:val="single" w:sz="4" w:space="0" w:color="000000"/>
              <w:right w:val="single" w:sz="4" w:space="0" w:color="000000"/>
            </w:tcBorders>
            <w:shd w:val="clear" w:color="000000" w:fill="F2DCDB"/>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Café Standard</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Stabilizace pH+</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CRS_X</w:t>
            </w:r>
            <w:r>
              <w:rPr>
                <w:rFonts w:ascii="Calibri" w:eastAsia="Times New Roman" w:hAnsi="Calibri" w:cs="Calibri"/>
                <w:color w:val="000000"/>
                <w:sz w:val="12"/>
                <w:szCs w:val="12"/>
                <w:vertAlign w:val="superscript"/>
                <w:lang w:val="en-GB" w:eastAsia="en-GB"/>
              </w:rPr>
              <w:t>5)</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373A3C"/>
                <w:sz w:val="12"/>
                <w:szCs w:val="12"/>
                <w:lang w:val="en-GB" w:eastAsia="en-GB"/>
              </w:rPr>
            </w:pPr>
            <w:r>
              <w:rPr>
                <w:rFonts w:ascii="Calibri" w:eastAsia="Times New Roman" w:hAnsi="Calibri" w:cs="Calibri"/>
                <w:color w:val="373A3C"/>
                <w:sz w:val="12"/>
                <w:szCs w:val="12"/>
                <w:lang w:val="en-GB" w:eastAsia="en-GB"/>
              </w:rPr>
              <w:t>MgO; 4,5 - 6,0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r>
              <w:rPr>
                <w:rFonts w:ascii="Calibri" w:eastAsia="Times New Roman" w:hAnsi="Calibri" w:cs="Calibri"/>
                <w:b/>
                <w:bCs/>
                <w:color w:val="00B050"/>
                <w:sz w:val="12"/>
                <w:szCs w:val="12"/>
                <w:lang w:val="en-GB" w:eastAsia="en-GB"/>
              </w:rPr>
              <w:t>úprava vody pro kávovary</w:t>
            </w:r>
          </w:p>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00"/>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147-000</w:t>
            </w:r>
          </w:p>
        </w:tc>
        <w:tc>
          <w:tcPr>
            <w:tcW w:w="2297" w:type="dxa"/>
            <w:tcBorders>
              <w:top w:val="single" w:sz="4" w:space="0" w:color="000000"/>
              <w:left w:val="single" w:sz="4" w:space="0" w:color="000000"/>
              <w:bottom w:val="single" w:sz="4" w:space="0" w:color="000000"/>
              <w:right w:val="single" w:sz="4" w:space="0" w:color="000000"/>
            </w:tcBorders>
            <w:shd w:val="clear" w:color="000000" w:fill="F2DCDB"/>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Café Standard</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Stabilizace pH++</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CCT_E</w:t>
            </w:r>
            <w:r>
              <w:rPr>
                <w:rFonts w:ascii="Calibri" w:eastAsia="Times New Roman" w:hAnsi="Calibri" w:cs="Calibri"/>
                <w:color w:val="000000"/>
                <w:sz w:val="12"/>
                <w:szCs w:val="12"/>
                <w:vertAlign w:val="superscript"/>
                <w:lang w:val="en-GB" w:eastAsia="en-GB"/>
              </w:rPr>
              <w:t>6)</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373A3C"/>
                <w:sz w:val="12"/>
                <w:szCs w:val="12"/>
                <w:lang w:val="en-GB" w:eastAsia="en-GB"/>
              </w:rPr>
            </w:pPr>
            <w:r>
              <w:rPr>
                <w:rFonts w:ascii="Calibri" w:eastAsia="Times New Roman" w:hAnsi="Calibri" w:cs="Calibri"/>
                <w:color w:val="373A3C"/>
                <w:sz w:val="12"/>
                <w:szCs w:val="12"/>
                <w:lang w:val="en-GB" w:eastAsia="en-GB"/>
              </w:rPr>
              <w:t>CaCO</w:t>
            </w:r>
            <w:r>
              <w:rPr>
                <w:rFonts w:ascii="Calibri" w:eastAsia="Times New Roman" w:hAnsi="Calibri" w:cs="Calibri"/>
                <w:color w:val="373A3C"/>
                <w:sz w:val="12"/>
                <w:szCs w:val="12"/>
                <w:vertAlign w:val="subscript"/>
                <w:lang w:val="en-GB" w:eastAsia="en-GB"/>
              </w:rPr>
              <w:t>3</w:t>
            </w:r>
            <w:r>
              <w:rPr>
                <w:rFonts w:ascii="Calibri" w:eastAsia="Times New Roman" w:hAnsi="Calibri" w:cs="Calibri"/>
                <w:color w:val="373A3C"/>
                <w:sz w:val="12"/>
                <w:szCs w:val="12"/>
                <w:lang w:val="en-GB" w:eastAsia="en-GB"/>
              </w:rPr>
              <w:t>, MgCO</w:t>
            </w:r>
            <w:r>
              <w:rPr>
                <w:rFonts w:ascii="Calibri" w:eastAsia="Times New Roman" w:hAnsi="Calibri" w:cs="Calibri"/>
                <w:color w:val="373A3C"/>
                <w:sz w:val="12"/>
                <w:szCs w:val="12"/>
                <w:vertAlign w:val="subscript"/>
                <w:lang w:val="en-GB" w:eastAsia="en-GB"/>
              </w:rPr>
              <w:t>3</w:t>
            </w:r>
            <w:r>
              <w:rPr>
                <w:rFonts w:ascii="Calibri" w:eastAsia="Times New Roman" w:hAnsi="Calibri" w:cs="Calibri"/>
                <w:color w:val="373A3C"/>
                <w:sz w:val="12"/>
                <w:szCs w:val="12"/>
                <w:lang w:val="en-GB" w:eastAsia="en-GB"/>
              </w:rPr>
              <w:t>;</w:t>
            </w:r>
            <w:r>
              <w:rPr>
                <w:rFonts w:ascii="Calibri" w:eastAsia="Times New Roman" w:hAnsi="Calibri" w:cs="Calibri"/>
                <w:color w:val="373A3C"/>
                <w:sz w:val="12"/>
                <w:szCs w:val="12"/>
                <w:vertAlign w:val="subscript"/>
                <w:lang w:val="en-GB" w:eastAsia="en-GB"/>
              </w:rPr>
              <w:t xml:space="preserve"> </w:t>
            </w:r>
            <w:r>
              <w:rPr>
                <w:rFonts w:ascii="Calibri" w:eastAsia="Times New Roman" w:hAnsi="Calibri" w:cs="Calibri"/>
                <w:color w:val="373A3C"/>
                <w:sz w:val="12"/>
                <w:szCs w:val="12"/>
                <w:lang w:val="en-GB" w:eastAsia="en-GB"/>
              </w:rPr>
              <w:t>5,0 - 7,0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r>
              <w:rPr>
                <w:rFonts w:ascii="Calibri" w:eastAsia="Times New Roman" w:hAnsi="Calibri" w:cs="Calibri"/>
                <w:b/>
                <w:bCs/>
                <w:color w:val="00B050"/>
                <w:sz w:val="12"/>
                <w:szCs w:val="12"/>
                <w:lang w:val="en-GB" w:eastAsia="en-GB"/>
              </w:rPr>
              <w:t>úprava vody pro kávovary</w:t>
            </w:r>
          </w:p>
        </w:tc>
        <w:tc>
          <w:tcPr>
            <w:tcW w:w="222" w:type="dxa"/>
          </w:tcPr>
          <w:p w:rsidR="00287B1D" w:rsidRDefault="00287B1D"/>
        </w:tc>
      </w:tr>
      <w:tr w:rsidR="00287B1D" w:rsidTr="00766381">
        <w:trPr>
          <w:trHeight w:val="300"/>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148-000</w:t>
            </w:r>
          </w:p>
        </w:tc>
        <w:tc>
          <w:tcPr>
            <w:tcW w:w="2297" w:type="dxa"/>
            <w:tcBorders>
              <w:top w:val="single" w:sz="4" w:space="0" w:color="000000"/>
              <w:left w:val="single" w:sz="4" w:space="0" w:color="000000"/>
              <w:bottom w:val="single" w:sz="4" w:space="0" w:color="000000"/>
              <w:right w:val="single" w:sz="4" w:space="0" w:color="000000"/>
            </w:tcBorders>
            <w:shd w:val="clear" w:color="000000" w:fill="F2DCDB"/>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Café Standard</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Snížení  izotopů, nuklidů</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TMC</w:t>
            </w:r>
            <w:r>
              <w:rPr>
                <w:rFonts w:ascii="Calibri" w:eastAsia="Times New Roman" w:hAnsi="Calibri" w:cs="Calibri"/>
                <w:color w:val="000000"/>
                <w:sz w:val="12"/>
                <w:szCs w:val="12"/>
                <w:vertAlign w:val="superscript"/>
                <w:lang w:val="en-GB" w:eastAsia="en-GB"/>
              </w:rPr>
              <w:t>9)</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SHG_ C70+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r>
              <w:rPr>
                <w:rFonts w:ascii="Calibri" w:eastAsia="Times New Roman" w:hAnsi="Calibri" w:cs="Calibri"/>
                <w:b/>
                <w:bCs/>
                <w:color w:val="00B050"/>
                <w:sz w:val="12"/>
                <w:szCs w:val="12"/>
                <w:lang w:val="en-GB" w:eastAsia="en-GB"/>
              </w:rPr>
              <w:t>úprava vody pro kávovary</w:t>
            </w:r>
          </w:p>
        </w:tc>
        <w:tc>
          <w:tcPr>
            <w:tcW w:w="222" w:type="dxa"/>
          </w:tcPr>
          <w:p w:rsidR="00287B1D" w:rsidRDefault="00287B1D"/>
        </w:tc>
      </w:tr>
      <w:tr w:rsidR="00287B1D" w:rsidTr="00766381">
        <w:trPr>
          <w:trHeight w:val="300"/>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149-000</w:t>
            </w:r>
          </w:p>
        </w:tc>
        <w:tc>
          <w:tcPr>
            <w:tcW w:w="2297" w:type="dxa"/>
            <w:tcBorders>
              <w:top w:val="single" w:sz="4" w:space="0" w:color="000000"/>
              <w:left w:val="single" w:sz="4" w:space="0" w:color="000000"/>
              <w:bottom w:val="single" w:sz="4" w:space="0" w:color="000000"/>
              <w:right w:val="single" w:sz="4" w:space="0" w:color="000000"/>
            </w:tcBorders>
            <w:shd w:val="clear" w:color="000000" w:fill="F2DCDB"/>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Café Standard</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Snížení dusičnanů</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PPA2</w:t>
            </w:r>
            <w:r>
              <w:rPr>
                <w:rFonts w:ascii="Calibri" w:eastAsia="Times New Roman" w:hAnsi="Calibri" w:cs="Calibri"/>
                <w:color w:val="000000"/>
                <w:sz w:val="12"/>
                <w:szCs w:val="12"/>
                <w:vertAlign w:val="superscript"/>
                <w:lang w:val="en-GB" w:eastAsia="en-GB"/>
              </w:rPr>
              <w:t>10)</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color w:val="202124"/>
                <w:sz w:val="12"/>
                <w:szCs w:val="12"/>
                <w:lang w:val="en-GB" w:eastAsia="en-GB"/>
              </w:rPr>
            </w:pPr>
            <w:r>
              <w:rPr>
                <w:rFonts w:ascii="Calibri" w:eastAsia="Times New Roman" w:hAnsi="Calibri" w:cs="Calibri"/>
                <w:b/>
                <w:bCs/>
                <w:color w:val="202124"/>
                <w:sz w:val="12"/>
                <w:szCs w:val="12"/>
                <w:lang w:val="en-GB" w:eastAsia="en-GB"/>
              </w:rPr>
              <w:t> </w:t>
            </w:r>
            <w:r>
              <w:rPr>
                <w:rFonts w:ascii="Calibri" w:eastAsia="Times New Roman" w:hAnsi="Calibri" w:cs="Calibri"/>
                <w:color w:val="202124"/>
                <w:sz w:val="12"/>
                <w:szCs w:val="12"/>
                <w:lang w:val="en-GB" w:eastAsia="en-GB"/>
              </w:rPr>
              <w:t>NO</w:t>
            </w:r>
            <w:r>
              <w:rPr>
                <w:rFonts w:ascii="Calibri" w:eastAsia="Times New Roman" w:hAnsi="Calibri" w:cs="Calibri"/>
                <w:color w:val="202124"/>
                <w:sz w:val="12"/>
                <w:szCs w:val="12"/>
                <w:vertAlign w:val="subscript"/>
                <w:lang w:val="en-GB" w:eastAsia="en-GB"/>
              </w:rPr>
              <w:t>3</w:t>
            </w:r>
            <w:r>
              <w:rPr>
                <w:rFonts w:ascii="Calibri" w:eastAsia="Times New Roman" w:hAnsi="Calibri" w:cs="Calibri"/>
                <w:color w:val="202124"/>
                <w:sz w:val="12"/>
                <w:szCs w:val="12"/>
                <w:lang w:val="en-GB" w:eastAsia="en-GB"/>
              </w:rPr>
              <w:t>-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r>
              <w:rPr>
                <w:rFonts w:ascii="Calibri" w:eastAsia="Times New Roman" w:hAnsi="Calibri" w:cs="Calibri"/>
                <w:b/>
                <w:bCs/>
                <w:color w:val="00B050"/>
                <w:sz w:val="12"/>
                <w:szCs w:val="12"/>
                <w:lang w:val="en-GB" w:eastAsia="en-GB"/>
              </w:rPr>
              <w:t>úprava vody pro kávovary</w:t>
            </w:r>
          </w:p>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1410-000</w:t>
            </w:r>
          </w:p>
        </w:tc>
        <w:tc>
          <w:tcPr>
            <w:tcW w:w="2297" w:type="dxa"/>
            <w:tcBorders>
              <w:top w:val="single" w:sz="4" w:space="0" w:color="000000"/>
              <w:left w:val="single" w:sz="4" w:space="0" w:color="000000"/>
              <w:bottom w:val="single" w:sz="8" w:space="0" w:color="000000"/>
              <w:right w:val="single" w:sz="4" w:space="0" w:color="000000"/>
            </w:tcBorders>
            <w:shd w:val="clear" w:color="000000" w:fill="F2DCDB"/>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Café Standard</w:t>
            </w:r>
          </w:p>
        </w:tc>
        <w:tc>
          <w:tcPr>
            <w:tcW w:w="2753" w:type="dxa"/>
            <w:gridSpan w:val="3"/>
            <w:tcBorders>
              <w:top w:val="single" w:sz="4" w:space="0" w:color="000000"/>
              <w:left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Ztvrzování vody</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SMD_K0</w:t>
            </w:r>
            <w:r>
              <w:rPr>
                <w:rFonts w:ascii="Calibri" w:eastAsia="Times New Roman" w:hAnsi="Calibri" w:cs="Calibri"/>
                <w:color w:val="000000"/>
                <w:sz w:val="12"/>
                <w:szCs w:val="12"/>
                <w:vertAlign w:val="superscript"/>
                <w:lang w:val="en-GB" w:eastAsia="en-GB"/>
              </w:rPr>
              <w:t>11)</w:t>
            </w:r>
          </w:p>
        </w:tc>
        <w:tc>
          <w:tcPr>
            <w:tcW w:w="1901" w:type="dxa"/>
            <w:gridSpan w:val="2"/>
            <w:tcBorders>
              <w:top w:val="single" w:sz="4" w:space="0" w:color="000000"/>
              <w:left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202124"/>
                <w:sz w:val="12"/>
                <w:szCs w:val="12"/>
                <w:lang w:val="en-GB" w:eastAsia="en-GB"/>
              </w:rPr>
            </w:pPr>
            <w:r>
              <w:rPr>
                <w:rFonts w:ascii="Calibri" w:eastAsia="Times New Roman" w:hAnsi="Calibri" w:cs="Calibri"/>
                <w:color w:val="202124"/>
                <w:sz w:val="12"/>
                <w:szCs w:val="12"/>
                <w:lang w:val="en-GB" w:eastAsia="en-GB"/>
              </w:rPr>
              <w:t>CaCO</w:t>
            </w:r>
            <w:r>
              <w:rPr>
                <w:rFonts w:ascii="Calibri" w:eastAsia="Times New Roman" w:hAnsi="Calibri" w:cs="Calibri"/>
                <w:color w:val="202124"/>
                <w:sz w:val="12"/>
                <w:szCs w:val="12"/>
                <w:vertAlign w:val="subscript"/>
                <w:lang w:val="en-GB" w:eastAsia="en-GB"/>
              </w:rPr>
              <w:t xml:space="preserve">3 </w:t>
            </w:r>
            <w:r>
              <w:rPr>
                <w:rFonts w:ascii="Calibri" w:eastAsia="Times New Roman" w:hAnsi="Calibri" w:cs="Calibri"/>
                <w:color w:val="202124"/>
                <w:sz w:val="12"/>
                <w:szCs w:val="12"/>
                <w:lang w:val="en-GB" w:eastAsia="en-GB"/>
              </w:rPr>
              <w:t>+ MgO   ↑</w:t>
            </w:r>
          </w:p>
        </w:tc>
        <w:tc>
          <w:tcPr>
            <w:tcW w:w="2167" w:type="dxa"/>
            <w:gridSpan w:val="5"/>
            <w:tcBorders>
              <w:top w:val="single" w:sz="4" w:space="0" w:color="000000"/>
              <w:left w:val="single" w:sz="4" w:space="0" w:color="000000"/>
              <w:bottom w:val="single" w:sz="8"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r>
              <w:rPr>
                <w:rFonts w:ascii="Calibri" w:eastAsia="Times New Roman" w:hAnsi="Calibri" w:cs="Calibri"/>
                <w:b/>
                <w:bCs/>
                <w:color w:val="00B050"/>
                <w:sz w:val="12"/>
                <w:szCs w:val="12"/>
                <w:lang w:val="en-GB" w:eastAsia="en-GB"/>
              </w:rPr>
              <w:t>úprava vody pro kávovary</w:t>
            </w:r>
          </w:p>
        </w:tc>
        <w:tc>
          <w:tcPr>
            <w:tcW w:w="222" w:type="dxa"/>
          </w:tcPr>
          <w:p w:rsidR="00287B1D" w:rsidRDefault="00287B1D"/>
        </w:tc>
      </w:tr>
      <w:tr w:rsidR="00287B1D" w:rsidTr="00766381">
        <w:trPr>
          <w:trHeight w:val="315"/>
        </w:trPr>
        <w:tc>
          <w:tcPr>
            <w:tcW w:w="833" w:type="dxa"/>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151-000</w:t>
            </w:r>
          </w:p>
        </w:tc>
        <w:tc>
          <w:tcPr>
            <w:tcW w:w="2297" w:type="dxa"/>
            <w:tcBorders>
              <w:top w:val="single" w:sz="8" w:space="0" w:color="000000"/>
              <w:left w:val="single" w:sz="4" w:space="0" w:color="000000"/>
              <w:bottom w:val="single" w:sz="4" w:space="0" w:color="000000"/>
              <w:right w:val="single" w:sz="4" w:space="0" w:color="000000"/>
            </w:tcBorders>
            <w:shd w:val="clear" w:color="000000" w:fill="E5B8B7" w:themeFill="accent2" w:themeFillTint="66"/>
            <w:vAlign w:val="center"/>
          </w:tcPr>
          <w:p w:rsidR="00287B1D" w:rsidRDefault="00BB6CB9">
            <w:pPr>
              <w:spacing w:after="0" w:line="240" w:lineRule="auto"/>
              <w:rPr>
                <w:rFonts w:ascii="Calibri" w:eastAsia="Times New Roman" w:hAnsi="Calibri" w:cs="Calibri"/>
                <w:b/>
                <w:bCs/>
                <w:color w:val="000000"/>
                <w:sz w:val="14"/>
                <w:szCs w:val="14"/>
                <w:lang w:val="en-GB" w:eastAsia="en-GB"/>
              </w:rPr>
            </w:pPr>
            <w:r>
              <w:rPr>
                <w:rFonts w:ascii="Calibri" w:eastAsia="Times New Roman" w:hAnsi="Calibri" w:cs="Calibri"/>
                <w:b/>
                <w:bCs/>
                <w:color w:val="000000"/>
                <w:sz w:val="14"/>
                <w:szCs w:val="14"/>
                <w:lang w:val="en-GB" w:eastAsia="en-GB"/>
              </w:rPr>
              <w:t xml:space="preserve">AQ3 Mini – Café Exclusive </w:t>
            </w:r>
            <w:r>
              <w:rPr>
                <w:rFonts w:ascii="Calibri" w:eastAsia="Times New Roman" w:hAnsi="Calibri" w:cs="Calibri"/>
                <w:b/>
                <w:bCs/>
                <w:color w:val="000000"/>
                <w:sz w:val="14"/>
                <w:szCs w:val="14"/>
                <w:vertAlign w:val="superscript"/>
                <w:lang w:val="en-GB" w:eastAsia="en-GB"/>
              </w:rPr>
              <w:t>11)</w:t>
            </w:r>
          </w:p>
        </w:tc>
        <w:tc>
          <w:tcPr>
            <w:tcW w:w="2753" w:type="dxa"/>
            <w:gridSpan w:val="3"/>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color w:val="000000"/>
                <w:sz w:val="12"/>
                <w:szCs w:val="12"/>
                <w:lang w:val="en-GB" w:eastAsia="en-GB"/>
              </w:rPr>
            </w:pPr>
            <w:r>
              <w:rPr>
                <w:rFonts w:ascii="Calibri" w:eastAsia="Times New Roman" w:hAnsi="Calibri" w:cs="Calibri"/>
                <w:b/>
                <w:bCs/>
                <w:color w:val="000000"/>
                <w:sz w:val="12"/>
                <w:szCs w:val="12"/>
                <w:lang w:val="en-GB" w:eastAsia="en-GB"/>
              </w:rPr>
              <w:t>Tvrdá voda-změkčení</w:t>
            </w:r>
            <w:r>
              <w:rPr>
                <w:rFonts w:ascii="Calibri" w:eastAsia="Times New Roman" w:hAnsi="Calibri" w:cs="Calibri"/>
                <w:color w:val="000000"/>
                <w:sz w:val="12"/>
                <w:szCs w:val="12"/>
                <w:vertAlign w:val="superscript"/>
                <w:lang w:val="en-GB" w:eastAsia="en-GB"/>
              </w:rPr>
              <w:t>12)</w:t>
            </w:r>
          </w:p>
        </w:tc>
        <w:tc>
          <w:tcPr>
            <w:tcW w:w="837" w:type="dxa"/>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PPC2</w:t>
            </w:r>
            <w:r>
              <w:rPr>
                <w:rFonts w:ascii="Calibri" w:eastAsia="Times New Roman" w:hAnsi="Calibri" w:cs="Calibri"/>
                <w:color w:val="000000"/>
                <w:sz w:val="12"/>
                <w:szCs w:val="12"/>
                <w:vertAlign w:val="superscript"/>
                <w:lang w:val="en-GB" w:eastAsia="en-GB"/>
              </w:rPr>
              <w:t>2)</w:t>
            </w:r>
          </w:p>
        </w:tc>
        <w:tc>
          <w:tcPr>
            <w:tcW w:w="1901" w:type="dxa"/>
            <w:gridSpan w:val="2"/>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Ca + Mg   ↓</w:t>
            </w:r>
          </w:p>
        </w:tc>
        <w:tc>
          <w:tcPr>
            <w:tcW w:w="2167" w:type="dxa"/>
            <w:gridSpan w:val="5"/>
            <w:tcBorders>
              <w:top w:val="single" w:sz="8"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B050"/>
                <w:sz w:val="12"/>
                <w:szCs w:val="12"/>
                <w:lang w:val="en-GB" w:eastAsia="en-GB"/>
              </w:rPr>
              <w:t>úprava vody pro kávovary</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152-000</w:t>
            </w:r>
          </w:p>
        </w:tc>
        <w:tc>
          <w:tcPr>
            <w:tcW w:w="2297" w:type="dxa"/>
            <w:tcBorders>
              <w:top w:val="single" w:sz="4" w:space="0" w:color="000000"/>
              <w:left w:val="single" w:sz="4" w:space="0" w:color="000000"/>
              <w:bottom w:val="single" w:sz="4" w:space="0" w:color="000000"/>
              <w:right w:val="single" w:sz="4" w:space="0" w:color="000000"/>
            </w:tcBorders>
            <w:shd w:val="clear" w:color="000000" w:fill="E5B8B7" w:themeFill="accent2"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Café Exclusive</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Odstranění Arzenu</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LT60</w:t>
            </w:r>
            <w:r>
              <w:rPr>
                <w:rFonts w:ascii="Calibri" w:eastAsia="Times New Roman" w:hAnsi="Calibri" w:cs="Calibri"/>
                <w:color w:val="000000"/>
                <w:sz w:val="12"/>
                <w:szCs w:val="12"/>
                <w:vertAlign w:val="superscript"/>
                <w:lang w:val="en-GB" w:eastAsia="en-GB"/>
              </w:rPr>
              <w:t>1)</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As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B050"/>
                <w:sz w:val="12"/>
                <w:szCs w:val="12"/>
                <w:lang w:val="en-GB" w:eastAsia="en-GB"/>
              </w:rPr>
              <w:t>úprava vody pro kávovary</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153-000</w:t>
            </w:r>
          </w:p>
        </w:tc>
        <w:tc>
          <w:tcPr>
            <w:tcW w:w="2297" w:type="dxa"/>
            <w:tcBorders>
              <w:top w:val="single" w:sz="4" w:space="0" w:color="000000"/>
              <w:left w:val="single" w:sz="4" w:space="0" w:color="000000"/>
              <w:bottom w:val="single" w:sz="4" w:space="0" w:color="000000"/>
              <w:right w:val="single" w:sz="4" w:space="0" w:color="000000"/>
            </w:tcBorders>
            <w:shd w:val="clear" w:color="000000" w:fill="E5B8B7" w:themeFill="accent2"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Café Exclusive</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Odstranění zákalu NTU</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SNT-X</w:t>
            </w:r>
            <w:r>
              <w:rPr>
                <w:rFonts w:ascii="Calibri" w:eastAsia="Times New Roman" w:hAnsi="Calibri" w:cs="Calibri"/>
                <w:color w:val="000000"/>
                <w:sz w:val="12"/>
                <w:szCs w:val="12"/>
                <w:vertAlign w:val="superscript"/>
                <w:lang w:val="en-GB" w:eastAsia="en-GB"/>
              </w:rPr>
              <w:t>8)</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MF/UF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B050"/>
                <w:sz w:val="12"/>
                <w:szCs w:val="12"/>
                <w:lang w:val="en-GB" w:eastAsia="en-GB"/>
              </w:rPr>
              <w:t>úprava vody pro kávovary</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154-000</w:t>
            </w:r>
          </w:p>
        </w:tc>
        <w:tc>
          <w:tcPr>
            <w:tcW w:w="2297" w:type="dxa"/>
            <w:tcBorders>
              <w:top w:val="single" w:sz="4" w:space="0" w:color="000000"/>
              <w:left w:val="single" w:sz="4" w:space="0" w:color="000000"/>
              <w:bottom w:val="single" w:sz="4" w:space="0" w:color="000000"/>
              <w:right w:val="single" w:sz="4" w:space="0" w:color="000000"/>
            </w:tcBorders>
            <w:shd w:val="clear" w:color="000000" w:fill="E5B8B7" w:themeFill="accent2"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Café Exclusive</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Železo a mangan-snížení</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ECM_P</w:t>
            </w:r>
            <w:r>
              <w:rPr>
                <w:rFonts w:ascii="Calibri" w:eastAsia="Times New Roman" w:hAnsi="Calibri" w:cs="Calibri"/>
                <w:color w:val="000000"/>
                <w:sz w:val="12"/>
                <w:szCs w:val="12"/>
                <w:vertAlign w:val="superscript"/>
                <w:lang w:val="en-GB" w:eastAsia="en-GB"/>
              </w:rPr>
              <w:t>3)</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Fe + Mn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B050"/>
                <w:sz w:val="12"/>
                <w:szCs w:val="12"/>
                <w:lang w:val="en-GB" w:eastAsia="en-GB"/>
              </w:rPr>
              <w:t>úprava vody pro kávovary</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155-000</w:t>
            </w:r>
          </w:p>
        </w:tc>
        <w:tc>
          <w:tcPr>
            <w:tcW w:w="2297" w:type="dxa"/>
            <w:tcBorders>
              <w:top w:val="single" w:sz="4" w:space="0" w:color="000000"/>
              <w:left w:val="single" w:sz="4" w:space="0" w:color="000000"/>
              <w:bottom w:val="single" w:sz="4" w:space="0" w:color="000000"/>
              <w:right w:val="single" w:sz="4" w:space="0" w:color="000000"/>
            </w:tcBorders>
            <w:shd w:val="clear" w:color="000000" w:fill="E5B8B7" w:themeFill="accent2"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Café Exclusive</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Vápník, Hořčík, Železo, Amoniak-snížení</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ECM_A</w:t>
            </w:r>
            <w:r>
              <w:rPr>
                <w:rFonts w:ascii="Calibri" w:eastAsia="Times New Roman" w:hAnsi="Calibri" w:cs="Calibri"/>
                <w:color w:val="000000"/>
                <w:sz w:val="12"/>
                <w:szCs w:val="12"/>
                <w:vertAlign w:val="superscript"/>
                <w:lang w:val="en-GB" w:eastAsia="en-GB"/>
              </w:rPr>
              <w:t>4)</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Ca, Mg, Fe, NH4</w:t>
            </w:r>
            <w:r>
              <w:rPr>
                <w:rFonts w:ascii="Calibri" w:eastAsia="Times New Roman" w:hAnsi="Calibri" w:cs="Calibri"/>
                <w:color w:val="000000"/>
                <w:sz w:val="12"/>
                <w:szCs w:val="12"/>
                <w:vertAlign w:val="superscript"/>
                <w:lang w:val="en-GB" w:eastAsia="en-GB"/>
              </w:rPr>
              <w:t xml:space="preserve">+   </w:t>
            </w:r>
            <w:r>
              <w:rPr>
                <w:rFonts w:ascii="Calibri" w:eastAsia="Times New Roman" w:hAnsi="Calibri" w:cs="Calibri"/>
                <w:color w:val="000000"/>
                <w:sz w:val="12"/>
                <w:szCs w:val="12"/>
                <w:lang w:val="en-GB" w:eastAsia="en-GB"/>
              </w:rPr>
              <w:t>↓</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B050"/>
                <w:sz w:val="12"/>
                <w:szCs w:val="12"/>
                <w:lang w:val="en-GB" w:eastAsia="en-GB"/>
              </w:rPr>
              <w:t>úprava vody pro kávovary</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156-000</w:t>
            </w:r>
          </w:p>
        </w:tc>
        <w:tc>
          <w:tcPr>
            <w:tcW w:w="2297" w:type="dxa"/>
            <w:tcBorders>
              <w:top w:val="single" w:sz="4" w:space="0" w:color="000000"/>
              <w:left w:val="single" w:sz="4" w:space="0" w:color="000000"/>
              <w:bottom w:val="single" w:sz="4" w:space="0" w:color="000000"/>
              <w:right w:val="single" w:sz="4" w:space="0" w:color="000000"/>
            </w:tcBorders>
            <w:shd w:val="clear" w:color="000000" w:fill="E5B8B7" w:themeFill="accent2"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Café Exclusive</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Stabilizace pH+</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CRS_X</w:t>
            </w:r>
            <w:r>
              <w:rPr>
                <w:rFonts w:ascii="Calibri" w:eastAsia="Times New Roman" w:hAnsi="Calibri" w:cs="Calibri"/>
                <w:color w:val="000000"/>
                <w:sz w:val="12"/>
                <w:szCs w:val="12"/>
                <w:vertAlign w:val="superscript"/>
                <w:lang w:val="en-GB" w:eastAsia="en-GB"/>
              </w:rPr>
              <w:t>5)</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373A3C"/>
                <w:sz w:val="12"/>
                <w:szCs w:val="12"/>
                <w:lang w:val="en-GB" w:eastAsia="en-GB"/>
              </w:rPr>
            </w:pPr>
            <w:r>
              <w:rPr>
                <w:rFonts w:ascii="Calibri" w:eastAsia="Times New Roman" w:hAnsi="Calibri" w:cs="Calibri"/>
                <w:color w:val="373A3C"/>
                <w:sz w:val="12"/>
                <w:szCs w:val="12"/>
                <w:lang w:val="en-GB" w:eastAsia="en-GB"/>
              </w:rPr>
              <w:t>MgO; 4,5 - 6,0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B050"/>
                <w:sz w:val="12"/>
                <w:szCs w:val="12"/>
                <w:lang w:val="en-GB" w:eastAsia="en-GB"/>
              </w:rPr>
              <w:t>úprava vody pro kávovary</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157-000</w:t>
            </w:r>
          </w:p>
        </w:tc>
        <w:tc>
          <w:tcPr>
            <w:tcW w:w="2297" w:type="dxa"/>
            <w:tcBorders>
              <w:top w:val="single" w:sz="4" w:space="0" w:color="000000"/>
              <w:left w:val="single" w:sz="4" w:space="0" w:color="000000"/>
              <w:bottom w:val="single" w:sz="4" w:space="0" w:color="000000"/>
              <w:right w:val="single" w:sz="4" w:space="0" w:color="000000"/>
            </w:tcBorders>
            <w:shd w:val="clear" w:color="000000" w:fill="E5B8B7" w:themeFill="accent2"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Café Exclusive</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Stabilizace pH++</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CCT_E</w:t>
            </w:r>
            <w:r>
              <w:rPr>
                <w:rFonts w:ascii="Calibri" w:eastAsia="Times New Roman" w:hAnsi="Calibri" w:cs="Calibri"/>
                <w:color w:val="000000"/>
                <w:sz w:val="12"/>
                <w:szCs w:val="12"/>
                <w:vertAlign w:val="superscript"/>
                <w:lang w:val="en-GB" w:eastAsia="en-GB"/>
              </w:rPr>
              <w:t>6)</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373A3C"/>
                <w:sz w:val="12"/>
                <w:szCs w:val="12"/>
                <w:lang w:val="en-GB" w:eastAsia="en-GB"/>
              </w:rPr>
            </w:pPr>
            <w:r>
              <w:rPr>
                <w:rFonts w:ascii="Calibri" w:eastAsia="Times New Roman" w:hAnsi="Calibri" w:cs="Calibri"/>
                <w:color w:val="373A3C"/>
                <w:sz w:val="12"/>
                <w:szCs w:val="12"/>
                <w:lang w:val="en-GB" w:eastAsia="en-GB"/>
              </w:rPr>
              <w:t>CaCO</w:t>
            </w:r>
            <w:r>
              <w:rPr>
                <w:rFonts w:ascii="Calibri" w:eastAsia="Times New Roman" w:hAnsi="Calibri" w:cs="Calibri"/>
                <w:color w:val="373A3C"/>
                <w:sz w:val="12"/>
                <w:szCs w:val="12"/>
                <w:vertAlign w:val="subscript"/>
                <w:lang w:val="en-GB" w:eastAsia="en-GB"/>
              </w:rPr>
              <w:t>3</w:t>
            </w:r>
            <w:r>
              <w:rPr>
                <w:rFonts w:ascii="Calibri" w:eastAsia="Times New Roman" w:hAnsi="Calibri" w:cs="Calibri"/>
                <w:color w:val="373A3C"/>
                <w:sz w:val="12"/>
                <w:szCs w:val="12"/>
                <w:lang w:val="en-GB" w:eastAsia="en-GB"/>
              </w:rPr>
              <w:t>, MgCO</w:t>
            </w:r>
            <w:r>
              <w:rPr>
                <w:rFonts w:ascii="Calibri" w:eastAsia="Times New Roman" w:hAnsi="Calibri" w:cs="Calibri"/>
                <w:color w:val="373A3C"/>
                <w:sz w:val="12"/>
                <w:szCs w:val="12"/>
                <w:vertAlign w:val="subscript"/>
                <w:lang w:val="en-GB" w:eastAsia="en-GB"/>
              </w:rPr>
              <w:t>3</w:t>
            </w:r>
            <w:r>
              <w:rPr>
                <w:rFonts w:ascii="Calibri" w:eastAsia="Times New Roman" w:hAnsi="Calibri" w:cs="Calibri"/>
                <w:color w:val="373A3C"/>
                <w:sz w:val="12"/>
                <w:szCs w:val="12"/>
                <w:lang w:val="en-GB" w:eastAsia="en-GB"/>
              </w:rPr>
              <w:t>;</w:t>
            </w:r>
            <w:r>
              <w:rPr>
                <w:rFonts w:ascii="Calibri" w:eastAsia="Times New Roman" w:hAnsi="Calibri" w:cs="Calibri"/>
                <w:color w:val="373A3C"/>
                <w:sz w:val="12"/>
                <w:szCs w:val="12"/>
                <w:vertAlign w:val="subscript"/>
                <w:lang w:val="en-GB" w:eastAsia="en-GB"/>
              </w:rPr>
              <w:t xml:space="preserve"> </w:t>
            </w:r>
            <w:r>
              <w:rPr>
                <w:rFonts w:ascii="Calibri" w:eastAsia="Times New Roman" w:hAnsi="Calibri" w:cs="Calibri"/>
                <w:color w:val="373A3C"/>
                <w:sz w:val="12"/>
                <w:szCs w:val="12"/>
                <w:lang w:val="en-GB" w:eastAsia="en-GB"/>
              </w:rPr>
              <w:t>5,0 - 7,0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B050"/>
                <w:sz w:val="12"/>
                <w:szCs w:val="12"/>
                <w:lang w:val="en-GB" w:eastAsia="en-GB"/>
              </w:rPr>
              <w:t>úprava vody pro kávovary</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158-000</w:t>
            </w:r>
          </w:p>
        </w:tc>
        <w:tc>
          <w:tcPr>
            <w:tcW w:w="2297" w:type="dxa"/>
            <w:tcBorders>
              <w:top w:val="single" w:sz="4" w:space="0" w:color="000000"/>
              <w:left w:val="single" w:sz="4" w:space="0" w:color="000000"/>
              <w:bottom w:val="single" w:sz="4" w:space="0" w:color="000000"/>
              <w:right w:val="single" w:sz="4" w:space="0" w:color="000000"/>
            </w:tcBorders>
            <w:shd w:val="clear" w:color="000000" w:fill="E5B8B7" w:themeFill="accent2"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Café Exclusive</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Snížení  izotopů, nuklidů</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TMC</w:t>
            </w:r>
            <w:r>
              <w:rPr>
                <w:rFonts w:ascii="Calibri" w:eastAsia="Times New Roman" w:hAnsi="Calibri" w:cs="Calibri"/>
                <w:color w:val="000000"/>
                <w:sz w:val="12"/>
                <w:szCs w:val="12"/>
                <w:vertAlign w:val="superscript"/>
                <w:lang w:val="en-GB" w:eastAsia="en-GB"/>
              </w:rPr>
              <w:t>9)</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SHG_ C70+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B050"/>
                <w:sz w:val="12"/>
                <w:szCs w:val="12"/>
                <w:lang w:val="en-GB" w:eastAsia="en-GB"/>
              </w:rPr>
              <w:t>úprava vody pro kávovary</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159-000</w:t>
            </w:r>
          </w:p>
        </w:tc>
        <w:tc>
          <w:tcPr>
            <w:tcW w:w="2297" w:type="dxa"/>
            <w:tcBorders>
              <w:top w:val="single" w:sz="4" w:space="0" w:color="000000"/>
              <w:left w:val="single" w:sz="4" w:space="0" w:color="000000"/>
              <w:bottom w:val="single" w:sz="4" w:space="0" w:color="000000"/>
              <w:right w:val="single" w:sz="4" w:space="0" w:color="000000"/>
            </w:tcBorders>
            <w:shd w:val="clear" w:color="000000" w:fill="E5B8B7" w:themeFill="accent2"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Café Exclusive</w:t>
            </w:r>
          </w:p>
        </w:tc>
        <w:tc>
          <w:tcPr>
            <w:tcW w:w="275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Snížení dusičnanů</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PPA2</w:t>
            </w:r>
            <w:r>
              <w:rPr>
                <w:rFonts w:ascii="Calibri" w:eastAsia="Times New Roman" w:hAnsi="Calibri" w:cs="Calibri"/>
                <w:color w:val="000000"/>
                <w:sz w:val="12"/>
                <w:szCs w:val="12"/>
                <w:vertAlign w:val="superscript"/>
                <w:lang w:val="en-GB" w:eastAsia="en-GB"/>
              </w:rPr>
              <w:t>10)</w:t>
            </w:r>
          </w:p>
        </w:tc>
        <w:tc>
          <w:tcPr>
            <w:tcW w:w="190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color w:val="202124"/>
                <w:sz w:val="12"/>
                <w:szCs w:val="12"/>
                <w:lang w:val="en-GB" w:eastAsia="en-GB"/>
              </w:rPr>
            </w:pPr>
            <w:r>
              <w:rPr>
                <w:rFonts w:ascii="Calibri" w:eastAsia="Times New Roman" w:hAnsi="Calibri" w:cs="Calibri"/>
                <w:b/>
                <w:bCs/>
                <w:color w:val="202124"/>
                <w:sz w:val="12"/>
                <w:szCs w:val="12"/>
                <w:lang w:val="en-GB" w:eastAsia="en-GB"/>
              </w:rPr>
              <w:t> </w:t>
            </w:r>
            <w:r>
              <w:rPr>
                <w:rFonts w:ascii="Calibri" w:eastAsia="Times New Roman" w:hAnsi="Calibri" w:cs="Calibri"/>
                <w:color w:val="202124"/>
                <w:sz w:val="12"/>
                <w:szCs w:val="12"/>
                <w:lang w:val="en-GB" w:eastAsia="en-GB"/>
              </w:rPr>
              <w:t>NO</w:t>
            </w:r>
            <w:r>
              <w:rPr>
                <w:rFonts w:ascii="Calibri" w:eastAsia="Times New Roman" w:hAnsi="Calibri" w:cs="Calibri"/>
                <w:color w:val="202124"/>
                <w:sz w:val="12"/>
                <w:szCs w:val="12"/>
                <w:vertAlign w:val="subscript"/>
                <w:lang w:val="en-GB" w:eastAsia="en-GB"/>
              </w:rPr>
              <w:t>3</w:t>
            </w:r>
            <w:r>
              <w:rPr>
                <w:rFonts w:ascii="Calibri" w:eastAsia="Times New Roman" w:hAnsi="Calibri" w:cs="Calibri"/>
                <w:color w:val="202124"/>
                <w:sz w:val="12"/>
                <w:szCs w:val="12"/>
                <w:lang w:val="en-GB" w:eastAsia="en-GB"/>
              </w:rPr>
              <w:t>-  ↓</w:t>
            </w:r>
          </w:p>
        </w:tc>
        <w:tc>
          <w:tcPr>
            <w:tcW w:w="216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B050"/>
                <w:sz w:val="12"/>
                <w:szCs w:val="12"/>
                <w:lang w:val="en-GB" w:eastAsia="en-GB"/>
              </w:rPr>
              <w:t>úprava vody pro kávovary</w:t>
            </w:r>
          </w:p>
        </w:tc>
        <w:tc>
          <w:tcPr>
            <w:tcW w:w="222" w:type="dxa"/>
          </w:tcPr>
          <w:p w:rsidR="00287B1D" w:rsidRDefault="00287B1D"/>
        </w:tc>
      </w:tr>
      <w:tr w:rsidR="00287B1D" w:rsidTr="00766381">
        <w:trPr>
          <w:trHeight w:val="315"/>
        </w:trPr>
        <w:tc>
          <w:tcPr>
            <w:tcW w:w="833" w:type="dxa"/>
            <w:tcBorders>
              <w:top w:val="single" w:sz="4" w:space="0" w:color="000000"/>
              <w:left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1510-000</w:t>
            </w:r>
          </w:p>
        </w:tc>
        <w:tc>
          <w:tcPr>
            <w:tcW w:w="2297" w:type="dxa"/>
            <w:tcBorders>
              <w:top w:val="single" w:sz="4" w:space="0" w:color="000000"/>
              <w:left w:val="single" w:sz="4" w:space="0" w:color="000000"/>
              <w:bottom w:val="single" w:sz="8" w:space="0" w:color="000000"/>
              <w:right w:val="single" w:sz="4" w:space="0" w:color="000000"/>
            </w:tcBorders>
            <w:shd w:val="clear" w:color="000000" w:fill="E5B8B7" w:themeFill="accent2" w:themeFillTint="66"/>
            <w:vAlign w:val="center"/>
          </w:tcPr>
          <w:p w:rsidR="00287B1D" w:rsidRDefault="00BB6CB9">
            <w:pPr>
              <w:spacing w:after="0" w:line="240" w:lineRule="auto"/>
              <w:rPr>
                <w:rFonts w:ascii="Calibri" w:eastAsia="Times New Roman" w:hAnsi="Calibri" w:cs="Calibri"/>
                <w:color w:val="000000"/>
                <w:sz w:val="14"/>
                <w:szCs w:val="14"/>
                <w:lang w:val="en-GB" w:eastAsia="en-GB"/>
              </w:rPr>
            </w:pPr>
            <w:r>
              <w:rPr>
                <w:rFonts w:ascii="Calibri" w:eastAsia="Times New Roman" w:hAnsi="Calibri" w:cs="Calibri"/>
                <w:color w:val="000000"/>
                <w:sz w:val="14"/>
                <w:szCs w:val="14"/>
                <w:lang w:val="en-GB" w:eastAsia="en-GB"/>
              </w:rPr>
              <w:t>AQ3 Mini – Café Exclusive</w:t>
            </w:r>
          </w:p>
        </w:tc>
        <w:tc>
          <w:tcPr>
            <w:tcW w:w="2753" w:type="dxa"/>
            <w:gridSpan w:val="3"/>
            <w:tcBorders>
              <w:top w:val="single" w:sz="4" w:space="0" w:color="000000"/>
              <w:left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Ztvrzování vody</w:t>
            </w:r>
            <w:r>
              <w:rPr>
                <w:rFonts w:ascii="Calibri" w:eastAsia="Times New Roman" w:hAnsi="Calibri" w:cs="Calibri"/>
                <w:color w:val="000000"/>
                <w:sz w:val="12"/>
                <w:szCs w:val="12"/>
                <w:vertAlign w:val="superscript"/>
                <w:lang w:val="en-GB" w:eastAsia="en-GB"/>
              </w:rPr>
              <w:t>12)</w:t>
            </w:r>
          </w:p>
        </w:tc>
        <w:tc>
          <w:tcPr>
            <w:tcW w:w="837" w:type="dxa"/>
            <w:tcBorders>
              <w:top w:val="single" w:sz="4" w:space="0" w:color="000000"/>
              <w:left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SMD_K0</w:t>
            </w:r>
            <w:r>
              <w:rPr>
                <w:rFonts w:ascii="Calibri" w:eastAsia="Times New Roman" w:hAnsi="Calibri" w:cs="Calibri"/>
                <w:color w:val="000000"/>
                <w:sz w:val="12"/>
                <w:szCs w:val="12"/>
                <w:vertAlign w:val="superscript"/>
                <w:lang w:val="en-GB" w:eastAsia="en-GB"/>
              </w:rPr>
              <w:t>11)</w:t>
            </w:r>
          </w:p>
        </w:tc>
        <w:tc>
          <w:tcPr>
            <w:tcW w:w="1901" w:type="dxa"/>
            <w:gridSpan w:val="2"/>
            <w:tcBorders>
              <w:top w:val="single" w:sz="4" w:space="0" w:color="000000"/>
              <w:left w:val="single" w:sz="4" w:space="0" w:color="000000"/>
              <w:bottom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202124"/>
                <w:sz w:val="12"/>
                <w:szCs w:val="12"/>
                <w:lang w:val="en-GB" w:eastAsia="en-GB"/>
              </w:rPr>
            </w:pPr>
            <w:r>
              <w:rPr>
                <w:rFonts w:ascii="Calibri" w:eastAsia="Times New Roman" w:hAnsi="Calibri" w:cs="Calibri"/>
                <w:color w:val="202124"/>
                <w:sz w:val="12"/>
                <w:szCs w:val="12"/>
                <w:lang w:val="en-GB" w:eastAsia="en-GB"/>
              </w:rPr>
              <w:t>CaCO</w:t>
            </w:r>
            <w:r>
              <w:rPr>
                <w:rFonts w:ascii="Calibri" w:eastAsia="Times New Roman" w:hAnsi="Calibri" w:cs="Calibri"/>
                <w:color w:val="202124"/>
                <w:sz w:val="12"/>
                <w:szCs w:val="12"/>
                <w:vertAlign w:val="subscript"/>
                <w:lang w:val="en-GB" w:eastAsia="en-GB"/>
              </w:rPr>
              <w:t xml:space="preserve">3 </w:t>
            </w:r>
            <w:r>
              <w:rPr>
                <w:rFonts w:ascii="Calibri" w:eastAsia="Times New Roman" w:hAnsi="Calibri" w:cs="Calibri"/>
                <w:color w:val="202124"/>
                <w:sz w:val="12"/>
                <w:szCs w:val="12"/>
                <w:lang w:val="en-GB" w:eastAsia="en-GB"/>
              </w:rPr>
              <w:t>+ MgO   ↑</w:t>
            </w:r>
          </w:p>
        </w:tc>
        <w:tc>
          <w:tcPr>
            <w:tcW w:w="2167" w:type="dxa"/>
            <w:gridSpan w:val="5"/>
            <w:tcBorders>
              <w:top w:val="single" w:sz="4" w:space="0" w:color="000000"/>
              <w:left w:val="single" w:sz="4" w:space="0" w:color="000000"/>
              <w:bottom w:val="single" w:sz="8" w:space="0" w:color="000000"/>
              <w:right w:val="single" w:sz="4" w:space="0" w:color="000000"/>
            </w:tcBorders>
            <w:shd w:val="clear" w:color="auto" w:fill="auto"/>
            <w:vAlign w:val="bottom"/>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B050"/>
                <w:sz w:val="12"/>
                <w:szCs w:val="12"/>
                <w:lang w:val="en-GB" w:eastAsia="en-GB"/>
              </w:rPr>
              <w:t>úprava vody pro kávovary</w:t>
            </w:r>
          </w:p>
        </w:tc>
        <w:tc>
          <w:tcPr>
            <w:tcW w:w="222" w:type="dxa"/>
          </w:tcPr>
          <w:p w:rsidR="00287B1D" w:rsidRDefault="00287B1D"/>
        </w:tc>
      </w:tr>
      <w:tr w:rsidR="00287B1D" w:rsidTr="00766381">
        <w:trPr>
          <w:trHeight w:val="300"/>
        </w:trPr>
        <w:tc>
          <w:tcPr>
            <w:tcW w:w="833" w:type="dxa"/>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SP22-6-001</w:t>
            </w:r>
          </w:p>
        </w:tc>
        <w:tc>
          <w:tcPr>
            <w:tcW w:w="2297" w:type="dxa"/>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obal vstupního filtru</w:t>
            </w:r>
          </w:p>
        </w:tc>
        <w:tc>
          <w:tcPr>
            <w:tcW w:w="2753" w:type="dxa"/>
            <w:gridSpan w:val="3"/>
            <w:tcBorders>
              <w:top w:val="single" w:sz="8"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FH1; FH2; FH3</w:t>
            </w:r>
            <w:r>
              <w:rPr>
                <w:rFonts w:ascii="Calibri" w:eastAsia="Times New Roman" w:hAnsi="Calibri" w:cs="Calibri"/>
                <w:color w:val="000000"/>
                <w:sz w:val="12"/>
                <w:szCs w:val="12"/>
                <w:lang w:val="en-GB" w:eastAsia="en-GB"/>
              </w:rPr>
              <w:t xml:space="preserve"> (filter housing)</w:t>
            </w:r>
          </w:p>
        </w:tc>
        <w:tc>
          <w:tcPr>
            <w:tcW w:w="837" w:type="dxa"/>
            <w:tcBorders>
              <w:top w:val="single" w:sz="8"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A1; A2; A3</w:t>
            </w:r>
          </w:p>
        </w:tc>
        <w:tc>
          <w:tcPr>
            <w:tcW w:w="4068" w:type="dxa"/>
            <w:gridSpan w:val="7"/>
            <w:tcBorders>
              <w:top w:val="single" w:sz="8"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PE - neprůhledný, bílý</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SP32-4-011</w:t>
            </w:r>
          </w:p>
        </w:tc>
        <w:tc>
          <w:tcPr>
            <w:tcW w:w="229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vložka motaného progresivního  filtru 50 mic</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FE1</w:t>
            </w:r>
            <w:r>
              <w:rPr>
                <w:rFonts w:ascii="Calibri" w:eastAsia="Times New Roman" w:hAnsi="Calibri" w:cs="Calibri"/>
                <w:color w:val="000000"/>
                <w:sz w:val="12"/>
                <w:szCs w:val="12"/>
                <w:lang w:val="en-GB" w:eastAsia="en-GB"/>
              </w:rPr>
              <w:t xml:space="preserve"> (filter element)</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A1a</w:t>
            </w:r>
            <w:r>
              <w:rPr>
                <w:rFonts w:ascii="Calibri" w:eastAsia="Times New Roman" w:hAnsi="Calibri" w:cs="Calibri"/>
                <w:color w:val="000000"/>
                <w:sz w:val="12"/>
                <w:szCs w:val="12"/>
                <w:vertAlign w:val="superscript"/>
                <w:lang w:val="en-GB" w:eastAsia="en-GB"/>
              </w:rPr>
              <w:t>13)VP</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PP - filtr s prodlouženou  filtrační schopností (volitelné příslušenství)</w:t>
            </w:r>
            <w:r>
              <w:rPr>
                <w:rFonts w:ascii="Calibri" w:eastAsia="Times New Roman" w:hAnsi="Calibri" w:cs="Calibri"/>
                <w:color w:val="000000"/>
                <w:sz w:val="12"/>
                <w:szCs w:val="12"/>
                <w:vertAlign w:val="superscript"/>
                <w:lang w:val="en-GB" w:eastAsia="en-GB"/>
              </w:rPr>
              <w:t>13)</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SP32-4-012</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vložka motaného progresivního  filtru 5 mic</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FE2</w:t>
            </w:r>
            <w:r>
              <w:rPr>
                <w:rFonts w:ascii="Calibri" w:eastAsia="Times New Roman" w:hAnsi="Calibri" w:cs="Calibri"/>
                <w:color w:val="000000"/>
                <w:sz w:val="12"/>
                <w:szCs w:val="12"/>
                <w:lang w:val="en-GB" w:eastAsia="en-GB"/>
              </w:rPr>
              <w:t xml:space="preserve"> (filter element)</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A2a</w:t>
            </w:r>
            <w:r>
              <w:rPr>
                <w:rFonts w:ascii="Calibri" w:eastAsia="Times New Roman" w:hAnsi="Calibri" w:cs="Calibri"/>
                <w:color w:val="000000"/>
                <w:sz w:val="12"/>
                <w:szCs w:val="12"/>
                <w:vertAlign w:val="superscript"/>
                <w:lang w:val="en-GB" w:eastAsia="en-GB"/>
              </w:rPr>
              <w:t>13)VP</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PP -  filtr s prodlouženou  filtrační schopností (volitelné příslušenství)</w:t>
            </w:r>
            <w:r>
              <w:rPr>
                <w:rFonts w:ascii="Calibri" w:eastAsia="Times New Roman" w:hAnsi="Calibri" w:cs="Calibri"/>
                <w:color w:val="000000"/>
                <w:sz w:val="12"/>
                <w:szCs w:val="12"/>
                <w:vertAlign w:val="superscript"/>
                <w:lang w:val="en-GB" w:eastAsia="en-GB"/>
              </w:rPr>
              <w:t>13)</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SP32-4-013</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vložka motaného progresivního  filtru 0,5 mic</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FE3</w:t>
            </w:r>
            <w:r>
              <w:rPr>
                <w:rFonts w:ascii="Calibri" w:eastAsia="Times New Roman" w:hAnsi="Calibri" w:cs="Calibri"/>
                <w:color w:val="000000"/>
                <w:sz w:val="12"/>
                <w:szCs w:val="12"/>
                <w:lang w:val="en-GB" w:eastAsia="en-GB"/>
              </w:rPr>
              <w:t xml:space="preserve"> (filter element)</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A3a</w:t>
            </w:r>
            <w:r>
              <w:rPr>
                <w:rFonts w:ascii="Calibri" w:eastAsia="Times New Roman" w:hAnsi="Calibri" w:cs="Calibri"/>
                <w:color w:val="000000"/>
                <w:sz w:val="12"/>
                <w:szCs w:val="12"/>
                <w:vertAlign w:val="superscript"/>
                <w:lang w:val="en-GB" w:eastAsia="en-GB"/>
              </w:rPr>
              <w:t>13)VP</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PP - filtr s prodlouženou  filtrační schopností (volitelné příslušenství)</w:t>
            </w:r>
            <w:r>
              <w:rPr>
                <w:rFonts w:ascii="Calibri" w:eastAsia="Times New Roman" w:hAnsi="Calibri" w:cs="Calibri"/>
                <w:color w:val="000000"/>
                <w:sz w:val="12"/>
                <w:szCs w:val="12"/>
                <w:vertAlign w:val="superscript"/>
                <w:lang w:val="en-GB" w:eastAsia="en-GB"/>
              </w:rPr>
              <w:t>13)</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SP62-22-016</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servisní ventil 1/4" (1)</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SV1; SV2; SV3; SV4</w:t>
            </w:r>
            <w:r>
              <w:rPr>
                <w:rFonts w:ascii="Calibri" w:eastAsia="Times New Roman" w:hAnsi="Calibri" w:cs="Calibri"/>
                <w:color w:val="000000"/>
                <w:sz w:val="12"/>
                <w:szCs w:val="12"/>
                <w:lang w:val="en-GB" w:eastAsia="en-GB"/>
              </w:rPr>
              <w:t xml:space="preserve"> (service ventil)</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A4; C5; C6; E5</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PE - modrobílý QC</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lastRenderedPageBreak/>
              <w:t>SP92-22-005</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vstupní ventil  3/8" BSP na  1/4" NPT; se vsuvkou ½” BSP</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iV</w:t>
            </w:r>
            <w:r>
              <w:rPr>
                <w:rFonts w:ascii="Calibri" w:eastAsia="Times New Roman" w:hAnsi="Calibri" w:cs="Calibri"/>
                <w:color w:val="000000"/>
                <w:sz w:val="12"/>
                <w:szCs w:val="12"/>
                <w:lang w:val="en-GB" w:eastAsia="en-GB"/>
              </w:rPr>
              <w:t xml:space="preserve"> (inlet valve); </w:t>
            </w:r>
            <w:r>
              <w:rPr>
                <w:rFonts w:ascii="Calibri" w:eastAsia="Times New Roman" w:hAnsi="Calibri" w:cs="Calibri"/>
                <w:b/>
                <w:color w:val="000000"/>
                <w:sz w:val="12"/>
                <w:szCs w:val="12"/>
                <w:lang w:val="en-GB" w:eastAsia="en-GB"/>
              </w:rPr>
              <w:t>Ni</w:t>
            </w:r>
            <w:r>
              <w:rPr>
                <w:rFonts w:ascii="Calibri" w:eastAsia="Times New Roman" w:hAnsi="Calibri" w:cs="Calibri"/>
                <w:color w:val="000000"/>
                <w:sz w:val="12"/>
                <w:szCs w:val="12"/>
                <w:lang w:val="en-GB" w:eastAsia="en-GB"/>
              </w:rPr>
              <w:t xml:space="preserve"> (nipple)</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A6; A5</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PM - poniklovaná mosaz</w:t>
            </w:r>
          </w:p>
        </w:tc>
        <w:tc>
          <w:tcPr>
            <w:tcW w:w="222" w:type="dxa"/>
          </w:tcPr>
          <w:p w:rsidR="00287B1D" w:rsidRDefault="00287B1D"/>
        </w:tc>
      </w:tr>
      <w:tr w:rsidR="00287B1D" w:rsidTr="00766381">
        <w:trPr>
          <w:trHeight w:val="27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SP62-21-005</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Přepážková nástrčná spojka QC 1/4" x QC 1/4"</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FBU</w:t>
            </w:r>
            <w:r>
              <w:rPr>
                <w:rFonts w:ascii="Calibri" w:eastAsia="Times New Roman" w:hAnsi="Calibri" w:cs="Calibri"/>
                <w:color w:val="000000"/>
                <w:sz w:val="12"/>
                <w:szCs w:val="12"/>
                <w:lang w:val="en-GB" w:eastAsia="en-GB"/>
              </w:rPr>
              <w:t xml:space="preserve"> (Fitting Bulkhead Union)</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FFFFFF"/>
                <w:sz w:val="12"/>
                <w:szCs w:val="12"/>
                <w:lang w:val="en-GB" w:eastAsia="en-GB"/>
              </w:rPr>
            </w:pPr>
            <w:r>
              <w:rPr>
                <w:rFonts w:ascii="Calibri" w:eastAsia="Times New Roman" w:hAnsi="Calibri" w:cs="Calibri"/>
                <w:sz w:val="12"/>
                <w:szCs w:val="12"/>
                <w:lang w:val="en-GB" w:eastAsia="en-GB"/>
              </w:rPr>
              <w:t>A7; C10; D3; E6</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PE - QC se závitem, plast, bílý</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SP52-16-006</w:t>
            </w:r>
          </w:p>
        </w:tc>
        <w:tc>
          <w:tcPr>
            <w:tcW w:w="229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solenoidový ventil</w:t>
            </w:r>
          </w:p>
        </w:tc>
        <w:tc>
          <w:tcPr>
            <w:tcW w:w="2753" w:type="dxa"/>
            <w:gridSpan w:val="3"/>
            <w:tcBorders>
              <w:top w:val="single" w:sz="4" w:space="0" w:color="000000"/>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SV1NC; SV2NC</w:t>
            </w:r>
            <w:r>
              <w:rPr>
                <w:rFonts w:ascii="Calibri" w:eastAsia="Times New Roman" w:hAnsi="Calibri" w:cs="Calibri"/>
                <w:color w:val="000000"/>
                <w:sz w:val="12"/>
                <w:szCs w:val="12"/>
                <w:lang w:val="en-GB" w:eastAsia="en-GB"/>
              </w:rPr>
              <w:t xml:space="preserve"> (solenoid valve)</w:t>
            </w:r>
          </w:p>
        </w:tc>
        <w:tc>
          <w:tcPr>
            <w:tcW w:w="83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A8; C12</w:t>
            </w:r>
          </w:p>
        </w:tc>
        <w:tc>
          <w:tcPr>
            <w:tcW w:w="4068" w:type="dxa"/>
            <w:gridSpan w:val="7"/>
            <w:tcBorders>
              <w:top w:val="single" w:sz="4" w:space="0" w:color="000000"/>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PE - SS NBR elektroventil, (všude mimo Basic)</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SP52-14-004</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průtokoměr s kabelem</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FM1; FM2</w:t>
            </w:r>
            <w:r>
              <w:rPr>
                <w:rFonts w:ascii="Calibri" w:eastAsia="Times New Roman" w:hAnsi="Calibri" w:cs="Calibri"/>
                <w:color w:val="000000"/>
                <w:sz w:val="12"/>
                <w:szCs w:val="12"/>
                <w:lang w:val="en-GB" w:eastAsia="en-GB"/>
              </w:rPr>
              <w:t xml:space="preserve"> (flow meter with cable)</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B2; F1</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AC (akrylát) -  průhledný, 1 chybí u Basic (sedimentační)</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SP22-6-002</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obal spirálního modulu</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SMH</w:t>
            </w:r>
            <w:r>
              <w:rPr>
                <w:rFonts w:ascii="Calibri" w:eastAsia="Times New Roman" w:hAnsi="Calibri" w:cs="Calibri"/>
                <w:color w:val="000000"/>
                <w:sz w:val="12"/>
                <w:szCs w:val="12"/>
                <w:lang w:val="en-GB" w:eastAsia="en-GB"/>
              </w:rPr>
              <w:t xml:space="preserve"> (spiral modul housing)</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B3</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PE - neprůhledný, bílý, chybí u Basic (sedimentační)</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SP32-4-014</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spirální nano modul</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SNM</w:t>
            </w:r>
            <w:r>
              <w:rPr>
                <w:rFonts w:ascii="Calibri" w:eastAsia="Times New Roman" w:hAnsi="Calibri" w:cs="Calibri"/>
                <w:color w:val="000000"/>
                <w:sz w:val="12"/>
                <w:szCs w:val="12"/>
                <w:lang w:val="en-GB" w:eastAsia="en-GB"/>
              </w:rPr>
              <w:t xml:space="preserve"> (spiral nano module)</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B3c</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TFC - bílý,  1812_300, chybí u  Basic (sedimentační)</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SP32-5-015</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sedimentační  UF filtr  0.1</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SFFa</w:t>
            </w:r>
            <w:r>
              <w:rPr>
                <w:rFonts w:ascii="Calibri" w:eastAsia="Times New Roman" w:hAnsi="Calibri" w:cs="Calibri"/>
                <w:color w:val="000000"/>
                <w:sz w:val="12"/>
                <w:szCs w:val="12"/>
                <w:lang w:val="en-GB" w:eastAsia="en-GB"/>
              </w:rPr>
              <w:t xml:space="preserve"> (sediment  fibre filter )</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B3a</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PE - pouze u Basic (sedimentační)</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SP32-5-016</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sedimentační UF/NF  filtr  0.02</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SFFb</w:t>
            </w:r>
            <w:r>
              <w:rPr>
                <w:rFonts w:ascii="Calibri" w:eastAsia="Times New Roman" w:hAnsi="Calibri" w:cs="Calibri"/>
                <w:color w:val="000000"/>
                <w:sz w:val="12"/>
                <w:szCs w:val="12"/>
                <w:lang w:val="en-GB" w:eastAsia="en-GB"/>
              </w:rPr>
              <w:t xml:space="preserve"> (sediment fibre filter)</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B3b</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PE - pouze u Basic (sedimentační)</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SP42-7-001</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analogový manometr 6 bar, 40 mm</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AM</w:t>
            </w:r>
            <w:r>
              <w:rPr>
                <w:rFonts w:ascii="Calibri" w:eastAsia="Times New Roman" w:hAnsi="Calibri" w:cs="Calibri"/>
                <w:color w:val="000000"/>
                <w:sz w:val="12"/>
                <w:szCs w:val="12"/>
                <w:lang w:val="en-GB" w:eastAsia="en-GB"/>
              </w:rPr>
              <w:t xml:space="preserve"> (analog manometer)</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C1</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SS - s tlumením,  zadní vývod 1/8" s redukcí 1/4" (Psi/Bar)</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287B1D">
            <w:pPr>
              <w:spacing w:after="0" w:line="240" w:lineRule="auto"/>
              <w:rPr>
                <w:rFonts w:ascii="Calibri" w:eastAsia="Times New Roman" w:hAnsi="Calibri" w:cs="Calibri"/>
                <w:b/>
                <w:bCs/>
                <w:sz w:val="12"/>
                <w:szCs w:val="12"/>
                <w:lang w:val="en-GB" w:eastAsia="en-GB"/>
              </w:rPr>
            </w:pP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třmen manometru</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TM</w:t>
            </w:r>
            <w:r>
              <w:rPr>
                <w:rFonts w:ascii="Calibri" w:eastAsia="Times New Roman" w:hAnsi="Calibri" w:cs="Calibri"/>
                <w:color w:val="000000"/>
                <w:sz w:val="12"/>
                <w:szCs w:val="12"/>
                <w:lang w:val="en-GB" w:eastAsia="en-GB"/>
              </w:rPr>
              <w:t xml:space="preserve"> (manometer holder)</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C1a</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xml:space="preserve">poniklovaná mosaz - zadní převlečný fixační držák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SP42-9-003</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xml:space="preserve">jehlový ventil </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NV</w:t>
            </w:r>
            <w:r>
              <w:rPr>
                <w:rFonts w:ascii="Calibri" w:eastAsia="Times New Roman" w:hAnsi="Calibri" w:cs="Calibri"/>
                <w:color w:val="000000"/>
                <w:sz w:val="12"/>
                <w:szCs w:val="12"/>
                <w:lang w:val="en-GB" w:eastAsia="en-GB"/>
              </w:rPr>
              <w:t xml:space="preserve"> (needle valve)</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C2; B4</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PE – (C2-optimalizuje poměr permeátu a retenátu ~ 4 až 6 : 1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SP42-10-004</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vakuová sací pumpa PP</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SP1</w:t>
            </w:r>
            <w:r>
              <w:rPr>
                <w:rFonts w:ascii="Calibri" w:eastAsia="Times New Roman" w:hAnsi="Calibri" w:cs="Calibri"/>
                <w:color w:val="000000"/>
                <w:sz w:val="12"/>
                <w:szCs w:val="12"/>
                <w:lang w:val="en-GB" w:eastAsia="en-GB"/>
              </w:rPr>
              <w:t>(vacuum suction pump)</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C3</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ABS - podtlakový odběr permeátu, chybí u Basic (sedimentační)</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SP92-25-001</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odpadní příruba 1/4" na Js 50</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DC</w:t>
            </w:r>
            <w:r>
              <w:rPr>
                <w:rFonts w:ascii="Calibri" w:eastAsia="Times New Roman" w:hAnsi="Calibri" w:cs="Calibri"/>
                <w:color w:val="000000"/>
                <w:sz w:val="12"/>
                <w:szCs w:val="12"/>
                <w:lang w:val="en-GB" w:eastAsia="en-GB"/>
              </w:rPr>
              <w:t xml:space="preserve"> (drain clamp) </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C4</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PE - odvod retenátu k dalšímu využití</w:t>
            </w:r>
          </w:p>
        </w:tc>
        <w:tc>
          <w:tcPr>
            <w:tcW w:w="222" w:type="dxa"/>
          </w:tcPr>
          <w:p w:rsidR="00287B1D" w:rsidRDefault="00287B1D"/>
        </w:tc>
      </w:tr>
      <w:tr w:rsidR="00287B1D" w:rsidTr="00766381">
        <w:trPr>
          <w:trHeight w:val="300"/>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SP62-21-015</w:t>
            </w:r>
          </w:p>
        </w:tc>
        <w:tc>
          <w:tcPr>
            <w:tcW w:w="229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zpětná klapka 1/4"</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ZK1; ZK2; ZK3</w:t>
            </w:r>
            <w:r>
              <w:rPr>
                <w:rFonts w:ascii="Calibri" w:eastAsia="Times New Roman" w:hAnsi="Calibri" w:cs="Calibri"/>
                <w:color w:val="000000"/>
                <w:sz w:val="12"/>
                <w:szCs w:val="12"/>
                <w:lang w:val="en-GB" w:eastAsia="en-GB"/>
              </w:rPr>
              <w:t xml:space="preserve"> (check valve)</w:t>
            </w:r>
          </w:p>
        </w:tc>
        <w:tc>
          <w:tcPr>
            <w:tcW w:w="83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C7</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PE - QC se šipkou</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SP52-15-005</w:t>
            </w:r>
          </w:p>
        </w:tc>
        <w:tc>
          <w:tcPr>
            <w:tcW w:w="229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tlakový senzor s kabelem</w:t>
            </w:r>
          </w:p>
        </w:tc>
        <w:tc>
          <w:tcPr>
            <w:tcW w:w="2753" w:type="dxa"/>
            <w:gridSpan w:val="3"/>
            <w:tcBorders>
              <w:top w:val="single" w:sz="4" w:space="0" w:color="000000"/>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PS1</w:t>
            </w:r>
            <w:r>
              <w:rPr>
                <w:rFonts w:ascii="Calibri" w:eastAsia="Times New Roman" w:hAnsi="Calibri" w:cs="Calibri"/>
                <w:color w:val="000000"/>
                <w:sz w:val="12"/>
                <w:szCs w:val="12"/>
                <w:lang w:val="en-GB" w:eastAsia="en-GB"/>
              </w:rPr>
              <w:t xml:space="preserve"> (pressure sensor)</w:t>
            </w:r>
          </w:p>
        </w:tc>
        <w:tc>
          <w:tcPr>
            <w:tcW w:w="83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C8</w:t>
            </w:r>
          </w:p>
        </w:tc>
        <w:tc>
          <w:tcPr>
            <w:tcW w:w="4068" w:type="dxa"/>
            <w:gridSpan w:val="7"/>
            <w:tcBorders>
              <w:top w:val="single" w:sz="4" w:space="0" w:color="000000"/>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ABS - 0 - 10 bar, všude, mimo Basic</w:t>
            </w:r>
          </w:p>
        </w:tc>
        <w:tc>
          <w:tcPr>
            <w:tcW w:w="222" w:type="dxa"/>
          </w:tcPr>
          <w:p w:rsidR="00287B1D" w:rsidRDefault="00287B1D"/>
        </w:tc>
      </w:tr>
      <w:tr w:rsidR="00287B1D" w:rsidTr="00766381">
        <w:trPr>
          <w:trHeight w:val="285"/>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SP52-18-009</w:t>
            </w:r>
          </w:p>
        </w:tc>
        <w:tc>
          <w:tcPr>
            <w:tcW w:w="229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Detektor pulzů</w:t>
            </w:r>
          </w:p>
        </w:tc>
        <w:tc>
          <w:tcPr>
            <w:tcW w:w="2753" w:type="dxa"/>
            <w:gridSpan w:val="3"/>
            <w:tcBorders>
              <w:top w:val="single" w:sz="4" w:space="0" w:color="000000"/>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xml:space="preserve"> (pulse detector)</w:t>
            </w:r>
          </w:p>
        </w:tc>
        <w:tc>
          <w:tcPr>
            <w:tcW w:w="83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C9</w:t>
            </w:r>
          </w:p>
        </w:tc>
        <w:tc>
          <w:tcPr>
            <w:tcW w:w="4068" w:type="dxa"/>
            <w:gridSpan w:val="7"/>
            <w:tcBorders>
              <w:top w:val="single" w:sz="4" w:space="0" w:color="000000"/>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elektret -  zachycuje pulzy v C3,  všude, mimo Basic</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SP72-23-001</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tlaková nádrž 12 l, 1/4" NPT</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 xml:space="preserve">PT </w:t>
            </w:r>
            <w:r>
              <w:rPr>
                <w:rFonts w:ascii="Calibri" w:eastAsia="Times New Roman" w:hAnsi="Calibri" w:cs="Calibri"/>
                <w:color w:val="000000"/>
                <w:sz w:val="12"/>
                <w:szCs w:val="12"/>
                <w:lang w:val="en-GB" w:eastAsia="en-GB"/>
              </w:rPr>
              <w:t xml:space="preserve">(pressure tank) </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D1</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PE - pro verze 1.0 ; 2.0; všude, mimo Basic a café</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SP92-22-004</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rohový ventil 1/4"  NPT (5)</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UVTN</w:t>
            </w:r>
            <w:r>
              <w:rPr>
                <w:rFonts w:ascii="Calibri" w:eastAsia="Times New Roman" w:hAnsi="Calibri" w:cs="Calibri"/>
                <w:color w:val="000000"/>
                <w:sz w:val="12"/>
                <w:szCs w:val="12"/>
                <w:lang w:val="en-GB" w:eastAsia="en-GB"/>
              </w:rPr>
              <w:t xml:space="preserve"> (angle valve)</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D2</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PE - uzavírací na nádrži QC</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SP32-5-017</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kokoso uhlíková náplň 1/4" NPT</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CNC</w:t>
            </w:r>
            <w:r>
              <w:rPr>
                <w:rFonts w:ascii="Calibri" w:eastAsia="Times New Roman" w:hAnsi="Calibri" w:cs="Calibri"/>
                <w:color w:val="000000"/>
                <w:sz w:val="12"/>
                <w:szCs w:val="12"/>
                <w:lang w:val="en-GB" w:eastAsia="en-GB"/>
              </w:rPr>
              <w:t xml:space="preserve"> (coconut carbon filling)</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E1</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PE - postfiltrace QC (1/4" altern.)</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SP32-5-018</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generátor negativních iontů 1/4" NPT</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GNI2K</w:t>
            </w:r>
            <w:r>
              <w:rPr>
                <w:rFonts w:ascii="Calibri" w:eastAsia="Times New Roman" w:hAnsi="Calibri" w:cs="Calibri"/>
                <w:color w:val="000000"/>
                <w:sz w:val="12"/>
                <w:szCs w:val="12"/>
                <w:lang w:val="en-GB" w:eastAsia="en-GB"/>
              </w:rPr>
              <w:t xml:space="preserve"> (negative ion generator)</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E2</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AC (akrylát) - postfiltrace QC (1/4" altern.)</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SP32-5-019</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minerální náplň 1/4" NPT</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MRF</w:t>
            </w:r>
            <w:r>
              <w:rPr>
                <w:rFonts w:ascii="Calibri" w:eastAsia="Times New Roman" w:hAnsi="Calibri" w:cs="Calibri"/>
                <w:color w:val="000000"/>
                <w:sz w:val="12"/>
                <w:szCs w:val="12"/>
                <w:lang w:val="en-GB" w:eastAsia="en-GB"/>
              </w:rPr>
              <w:t xml:space="preserve"> (mineral filling)</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E3</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PE - postfiltrace QC</w:t>
            </w:r>
            <w:proofErr w:type="gramStart"/>
            <w:r>
              <w:rPr>
                <w:rFonts w:ascii="Calibri" w:eastAsia="Times New Roman" w:hAnsi="Calibri" w:cs="Calibri"/>
                <w:color w:val="000000"/>
                <w:sz w:val="12"/>
                <w:szCs w:val="12"/>
                <w:lang w:val="en-GB" w:eastAsia="en-GB"/>
              </w:rPr>
              <w:t>,  ALK</w:t>
            </w:r>
            <w:proofErr w:type="gramEnd"/>
            <w:r>
              <w:rPr>
                <w:rFonts w:ascii="Calibri" w:eastAsia="Times New Roman" w:hAnsi="Calibri" w:cs="Calibri"/>
                <w:color w:val="000000"/>
                <w:sz w:val="12"/>
                <w:szCs w:val="12"/>
                <w:lang w:val="en-GB" w:eastAsia="en-GB"/>
              </w:rPr>
              <w:t>+; ++ (1/4" altern.)</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SP32-5-020</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generátor molekul kyslíku 1/4" NPT</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OG</w:t>
            </w:r>
            <w:r>
              <w:rPr>
                <w:rFonts w:ascii="Calibri" w:eastAsia="Times New Roman" w:hAnsi="Calibri" w:cs="Calibri"/>
                <w:color w:val="000000"/>
                <w:sz w:val="12"/>
                <w:szCs w:val="12"/>
                <w:lang w:val="en-GB" w:eastAsia="en-GB"/>
              </w:rPr>
              <w:t xml:space="preserve"> (oxygen molecule generator)</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E4</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AC (akrylát) - postfiltrace QC (1/4" altern.)</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SP32-5-021</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energoaktivátor 1/4" NPT</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ENACT</w:t>
            </w:r>
            <w:r>
              <w:rPr>
                <w:rFonts w:ascii="Calibri" w:eastAsia="Times New Roman" w:hAnsi="Calibri" w:cs="Calibri"/>
                <w:color w:val="000000"/>
                <w:sz w:val="12"/>
                <w:szCs w:val="12"/>
                <w:lang w:val="en-GB" w:eastAsia="en-GB"/>
              </w:rPr>
              <w:t xml:space="preserve"> (energoactivator)</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E4a</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de-DE" w:eastAsia="en-GB"/>
              </w:rPr>
            </w:pPr>
            <w:r>
              <w:rPr>
                <w:rFonts w:ascii="Calibri" w:eastAsia="Times New Roman" w:hAnsi="Calibri" w:cs="Calibri"/>
                <w:color w:val="000000"/>
                <w:sz w:val="12"/>
                <w:szCs w:val="12"/>
                <w:lang w:val="de-DE" w:eastAsia="en-GB"/>
              </w:rPr>
              <w:t>PE - postfiltrace QC (1/4" altern.) záměna za E4 pouze u Exclusive</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SP42-8-001</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xml:space="preserve">regulátor tlaku 1/4" </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PR</w:t>
            </w:r>
            <w:r>
              <w:rPr>
                <w:rFonts w:ascii="Calibri" w:eastAsia="Times New Roman" w:hAnsi="Calibri" w:cs="Calibri"/>
                <w:color w:val="000000"/>
                <w:sz w:val="12"/>
                <w:szCs w:val="12"/>
                <w:lang w:val="en-GB" w:eastAsia="en-GB"/>
              </w:rPr>
              <w:t xml:space="preserve"> (pressure regulator)</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F2</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PE - bílý QC,  kalibrace na  2,5 baru</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SP52-13-003</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UV-C LED s kabelem  3/8" NPT</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UV1</w:t>
            </w:r>
            <w:r>
              <w:rPr>
                <w:rFonts w:ascii="Calibri" w:eastAsia="Times New Roman" w:hAnsi="Calibri" w:cs="Calibri"/>
                <w:color w:val="000000"/>
                <w:sz w:val="12"/>
                <w:szCs w:val="12"/>
                <w:lang w:val="en-GB" w:eastAsia="en-GB"/>
              </w:rPr>
              <w:t xml:space="preserve"> (UV LED lamp with cable)</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F3</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ABS_Al_SS -  bílá, (3/8 na 1/4") QC</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SP82-24-001</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odběrový  výstupní ventil 1/4" BSP</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FC</w:t>
            </w:r>
            <w:r>
              <w:rPr>
                <w:rFonts w:ascii="Calibri" w:eastAsia="Times New Roman" w:hAnsi="Calibri" w:cs="Calibri"/>
                <w:color w:val="000000"/>
                <w:sz w:val="12"/>
                <w:szCs w:val="12"/>
                <w:lang w:val="en-GB" w:eastAsia="en-GB"/>
              </w:rPr>
              <w:t xml:space="preserve"> (sampling outlet valve)</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G1</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poniklovaná mosaz - odběrový ventil (klientský)</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lastRenderedPageBreak/>
              <w:t>SP52-11-001</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RDM modul</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RDM_2b</w:t>
            </w:r>
            <w:r>
              <w:rPr>
                <w:rFonts w:ascii="Calibri" w:eastAsia="Times New Roman" w:hAnsi="Calibri" w:cs="Calibri"/>
                <w:color w:val="000000"/>
                <w:sz w:val="12"/>
                <w:szCs w:val="12"/>
                <w:lang w:val="en-GB" w:eastAsia="en-GB"/>
              </w:rPr>
              <w:t xml:space="preserve"> (communication module)</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H1a</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PE_FR-4 - 2.0b</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287B1D">
            <w:pPr>
              <w:spacing w:after="0" w:line="240" w:lineRule="auto"/>
              <w:rPr>
                <w:rFonts w:ascii="Calibri" w:eastAsia="Times New Roman" w:hAnsi="Calibri" w:cs="Calibri"/>
                <w:b/>
                <w:bCs/>
                <w:sz w:val="12"/>
                <w:szCs w:val="12"/>
                <w:lang w:val="en-GB" w:eastAsia="en-GB"/>
              </w:rPr>
            </w:pP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RDM modul</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 xml:space="preserve">RDM_1 </w:t>
            </w:r>
            <w:r>
              <w:rPr>
                <w:rFonts w:ascii="Calibri" w:eastAsia="Times New Roman" w:hAnsi="Calibri" w:cs="Calibri"/>
                <w:color w:val="000000"/>
                <w:sz w:val="12"/>
                <w:szCs w:val="12"/>
                <w:lang w:val="en-GB" w:eastAsia="en-GB"/>
              </w:rPr>
              <w:t>(communication module)</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H1</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PE_FR-4 - 1.0</w:t>
            </w:r>
          </w:p>
        </w:tc>
        <w:tc>
          <w:tcPr>
            <w:tcW w:w="222" w:type="dxa"/>
          </w:tcPr>
          <w:p w:rsidR="00287B1D" w:rsidRDefault="00287B1D"/>
        </w:tc>
      </w:tr>
      <w:tr w:rsidR="00287B1D" w:rsidTr="00766381">
        <w:trPr>
          <w:trHeight w:val="300"/>
        </w:trPr>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SP52-17-007</w:t>
            </w:r>
          </w:p>
        </w:tc>
        <w:tc>
          <w:tcPr>
            <w:tcW w:w="229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napájecí spínací  zdroj 24 V/1 A</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PA</w:t>
            </w:r>
            <w:r>
              <w:rPr>
                <w:rFonts w:ascii="Calibri" w:eastAsia="Times New Roman" w:hAnsi="Calibri" w:cs="Calibri"/>
                <w:color w:val="000000"/>
                <w:sz w:val="12"/>
                <w:szCs w:val="12"/>
                <w:lang w:val="en-GB" w:eastAsia="en-GB"/>
              </w:rPr>
              <w:t xml:space="preserve"> (power supply)</w:t>
            </w:r>
          </w:p>
        </w:tc>
        <w:tc>
          <w:tcPr>
            <w:tcW w:w="83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H2</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ABS - 108 - 245 VAC/ 48 - 62 Hz</w:t>
            </w:r>
          </w:p>
        </w:tc>
        <w:tc>
          <w:tcPr>
            <w:tcW w:w="222" w:type="dxa"/>
          </w:tcPr>
          <w:p w:rsidR="00287B1D" w:rsidRDefault="00287B1D"/>
        </w:tc>
      </w:tr>
      <w:tr w:rsidR="00287B1D" w:rsidTr="00766381">
        <w:trPr>
          <w:trHeight w:val="285"/>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SP52-12-002</w:t>
            </w:r>
          </w:p>
        </w:tc>
        <w:tc>
          <w:tcPr>
            <w:tcW w:w="229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RGB_LED_2 modul</w:t>
            </w:r>
          </w:p>
        </w:tc>
        <w:tc>
          <w:tcPr>
            <w:tcW w:w="2753" w:type="dxa"/>
            <w:gridSpan w:val="3"/>
            <w:tcBorders>
              <w:top w:val="single" w:sz="4" w:space="0" w:color="000000"/>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RGBM</w:t>
            </w:r>
            <w:r>
              <w:rPr>
                <w:rFonts w:ascii="Calibri" w:eastAsia="Times New Roman" w:hAnsi="Calibri" w:cs="Calibri"/>
                <w:color w:val="000000"/>
                <w:sz w:val="12"/>
                <w:szCs w:val="12"/>
                <w:lang w:val="en-GB" w:eastAsia="en-GB"/>
              </w:rPr>
              <w:t xml:space="preserve"> (RGB_LED_2 module)</w:t>
            </w:r>
          </w:p>
        </w:tc>
        <w:tc>
          <w:tcPr>
            <w:tcW w:w="83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H3</w:t>
            </w:r>
          </w:p>
        </w:tc>
        <w:tc>
          <w:tcPr>
            <w:tcW w:w="4068" w:type="dxa"/>
            <w:gridSpan w:val="7"/>
            <w:tcBorders>
              <w:top w:val="single" w:sz="4" w:space="0" w:color="000000"/>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xml:space="preserve">FR-4 - pro 2.0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SP52-19-010</w:t>
            </w:r>
          </w:p>
        </w:tc>
        <w:tc>
          <w:tcPr>
            <w:tcW w:w="229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RGB kabeláž</w:t>
            </w:r>
          </w:p>
        </w:tc>
        <w:tc>
          <w:tcPr>
            <w:tcW w:w="2753" w:type="dxa"/>
            <w:gridSpan w:val="3"/>
            <w:tcBorders>
              <w:top w:val="single" w:sz="4" w:space="0" w:color="000000"/>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DC1</w:t>
            </w:r>
            <w:r>
              <w:rPr>
                <w:rFonts w:ascii="Calibri" w:eastAsia="Times New Roman" w:hAnsi="Calibri" w:cs="Calibri"/>
                <w:color w:val="000000"/>
                <w:sz w:val="12"/>
                <w:szCs w:val="12"/>
                <w:lang w:val="en-GB" w:eastAsia="en-GB"/>
              </w:rPr>
              <w:t xml:space="preserve"> (RGB cabling)</w:t>
            </w:r>
          </w:p>
        </w:tc>
        <w:tc>
          <w:tcPr>
            <w:tcW w:w="83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H4</w:t>
            </w:r>
          </w:p>
        </w:tc>
        <w:tc>
          <w:tcPr>
            <w:tcW w:w="4068" w:type="dxa"/>
            <w:gridSpan w:val="7"/>
            <w:tcBorders>
              <w:top w:val="single" w:sz="4" w:space="0" w:color="000000"/>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PVC -  od RGB do KM2</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SP52-17-008</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xml:space="preserve">napájecí  kovový  konektor  </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 xml:space="preserve">INPMC </w:t>
            </w:r>
            <w:r>
              <w:rPr>
                <w:rFonts w:ascii="Calibri" w:eastAsia="Times New Roman" w:hAnsi="Calibri" w:cs="Calibri"/>
                <w:color w:val="000000"/>
                <w:sz w:val="12"/>
                <w:szCs w:val="12"/>
                <w:lang w:val="en-GB" w:eastAsia="en-GB"/>
              </w:rPr>
              <w:t>(power metal connector)</w:t>
            </w:r>
          </w:p>
        </w:tc>
        <w:tc>
          <w:tcPr>
            <w:tcW w:w="837" w:type="dxa"/>
            <w:tcBorders>
              <w:bottom w:val="single" w:sz="4" w:space="0" w:color="000000"/>
              <w:right w:val="single" w:sz="4" w:space="0" w:color="000000"/>
            </w:tcBorders>
            <w:shd w:val="clear" w:color="000000" w:fill="D9D9D9"/>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H5</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xml:space="preserve">poniklovaná mosaz - 24V/1 A;  pro 1.0; 2.0 </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SP52-19-012</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silová kabeláž 24 V/1 A</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PC1</w:t>
            </w:r>
            <w:r>
              <w:rPr>
                <w:rFonts w:ascii="Calibri" w:eastAsia="Times New Roman" w:hAnsi="Calibri" w:cs="Calibri"/>
                <w:color w:val="000000"/>
                <w:sz w:val="12"/>
                <w:szCs w:val="12"/>
                <w:lang w:val="en-GB" w:eastAsia="en-GB"/>
              </w:rPr>
              <w:t xml:space="preserve"> (power cabling)</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H6</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PVC - od IPC  do  RDM_1; 2  pro modely 1.0; 2.0</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SP52-19-011</w:t>
            </w:r>
          </w:p>
        </w:tc>
        <w:tc>
          <w:tcPr>
            <w:tcW w:w="229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silová kabeláž k SV1NC a SV2NC</w:t>
            </w:r>
          </w:p>
        </w:tc>
        <w:tc>
          <w:tcPr>
            <w:tcW w:w="2753" w:type="dxa"/>
            <w:gridSpan w:val="3"/>
            <w:tcBorders>
              <w:top w:val="single" w:sz="4" w:space="0" w:color="000000"/>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PC2</w:t>
            </w:r>
            <w:r>
              <w:rPr>
                <w:rFonts w:ascii="Calibri" w:eastAsia="Times New Roman" w:hAnsi="Calibri" w:cs="Calibri"/>
                <w:color w:val="000000"/>
                <w:sz w:val="12"/>
                <w:szCs w:val="12"/>
                <w:lang w:val="en-GB" w:eastAsia="en-GB"/>
              </w:rPr>
              <w:t xml:space="preserve"> (power cabling)</w:t>
            </w:r>
          </w:p>
        </w:tc>
        <w:tc>
          <w:tcPr>
            <w:tcW w:w="83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H7</w:t>
            </w:r>
          </w:p>
        </w:tc>
        <w:tc>
          <w:tcPr>
            <w:tcW w:w="4068" w:type="dxa"/>
            <w:gridSpan w:val="7"/>
            <w:tcBorders>
              <w:top w:val="single" w:sz="4" w:space="0" w:color="000000"/>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PVC - od SV1 a 2NC do  RDM_2B; všude, mimo Basic</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287B1D">
            <w:pPr>
              <w:spacing w:after="0" w:line="240" w:lineRule="auto"/>
              <w:rPr>
                <w:rFonts w:ascii="Calibri" w:eastAsia="Times New Roman" w:hAnsi="Calibri" w:cs="Calibri"/>
                <w:b/>
                <w:bCs/>
                <w:sz w:val="12"/>
                <w:szCs w:val="12"/>
                <w:lang w:val="en-GB" w:eastAsia="en-GB"/>
              </w:rPr>
            </w:pPr>
          </w:p>
        </w:tc>
        <w:tc>
          <w:tcPr>
            <w:tcW w:w="229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xml:space="preserve">barevný display </w:t>
            </w:r>
          </w:p>
        </w:tc>
        <w:tc>
          <w:tcPr>
            <w:tcW w:w="2368" w:type="dxa"/>
            <w:gridSpan w:val="2"/>
            <w:tcBorders>
              <w:bottom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CD1</w:t>
            </w:r>
            <w:r>
              <w:rPr>
                <w:rFonts w:ascii="Calibri" w:eastAsia="Times New Roman" w:hAnsi="Calibri" w:cs="Calibri"/>
                <w:color w:val="000000"/>
                <w:sz w:val="12"/>
                <w:szCs w:val="12"/>
                <w:lang w:val="en-GB" w:eastAsia="en-GB"/>
              </w:rPr>
              <w:t xml:space="preserve"> (color display)</w:t>
            </w:r>
          </w:p>
        </w:tc>
        <w:tc>
          <w:tcPr>
            <w:tcW w:w="385"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 </w:t>
            </w:r>
          </w:p>
        </w:tc>
        <w:tc>
          <w:tcPr>
            <w:tcW w:w="837" w:type="dxa"/>
            <w:tcBorders>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H9</w:t>
            </w:r>
          </w:p>
        </w:tc>
        <w:tc>
          <w:tcPr>
            <w:tcW w:w="4068" w:type="dxa"/>
            <w:gridSpan w:val="7"/>
            <w:tcBorders>
              <w:top w:val="single" w:sz="4" w:space="0" w:color="000000"/>
              <w:bottom w:val="single" w:sz="4" w:space="0" w:color="000000"/>
              <w:right w:val="single" w:sz="4" w:space="0" w:color="000000"/>
            </w:tcBorders>
            <w:shd w:val="clear" w:color="000000" w:fill="EBF1DE"/>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FR-4 -  LCD, pro 2.0 TOP (alternativa za analogový manometr)</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SP62-20-001</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propojovací červená 1/4"  hadička</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TUB1</w:t>
            </w:r>
            <w:r>
              <w:rPr>
                <w:rFonts w:ascii="Calibri" w:eastAsia="Times New Roman" w:hAnsi="Calibri" w:cs="Calibri"/>
                <w:color w:val="000000"/>
                <w:sz w:val="12"/>
                <w:szCs w:val="12"/>
                <w:lang w:val="en-GB" w:eastAsia="en-GB"/>
              </w:rPr>
              <w:t xml:space="preserve"> (connecting red hose)</w:t>
            </w:r>
          </w:p>
        </w:tc>
        <w:tc>
          <w:tcPr>
            <w:tcW w:w="837" w:type="dxa"/>
            <w:tcBorders>
              <w:bottom w:val="single" w:sz="4" w:space="0" w:color="000000"/>
              <w:right w:val="single" w:sz="4" w:space="0" w:color="000000"/>
            </w:tcBorders>
            <w:shd w:val="clear" w:color="000000" w:fill="FF0000"/>
            <w:vAlign w:val="center"/>
          </w:tcPr>
          <w:p w:rsidR="00287B1D" w:rsidRDefault="00BB6CB9">
            <w:pPr>
              <w:spacing w:after="0" w:line="240" w:lineRule="auto"/>
              <w:rPr>
                <w:rFonts w:ascii="Calibri" w:eastAsia="Times New Roman" w:hAnsi="Calibri" w:cs="Calibri"/>
                <w:color w:val="FFFFFF"/>
                <w:sz w:val="12"/>
                <w:szCs w:val="12"/>
                <w:lang w:val="en-GB" w:eastAsia="en-GB"/>
              </w:rPr>
            </w:pPr>
            <w:r>
              <w:rPr>
                <w:rFonts w:ascii="Calibri" w:eastAsia="Times New Roman" w:hAnsi="Calibri" w:cs="Calibri"/>
                <w:color w:val="FFFFFF"/>
                <w:sz w:val="12"/>
                <w:szCs w:val="12"/>
                <w:lang w:val="en-GB" w:eastAsia="en-GB"/>
              </w:rPr>
              <w:t>I1</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LLDPE (alt.) -  surová voda, vstup z VVŘ</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SP62-20-002</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propojovací žlutá 1/4"  hadička</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TUB2</w:t>
            </w:r>
            <w:r>
              <w:rPr>
                <w:rFonts w:ascii="Calibri" w:eastAsia="Times New Roman" w:hAnsi="Calibri" w:cs="Calibri"/>
                <w:color w:val="000000"/>
                <w:sz w:val="12"/>
                <w:szCs w:val="12"/>
                <w:lang w:val="en-GB" w:eastAsia="en-GB"/>
              </w:rPr>
              <w:t xml:space="preserve"> (connecting yellow hose)</w:t>
            </w:r>
          </w:p>
        </w:tc>
        <w:tc>
          <w:tcPr>
            <w:tcW w:w="837" w:type="dxa"/>
            <w:tcBorders>
              <w:bottom w:val="single" w:sz="4" w:space="0" w:color="000000"/>
              <w:right w:val="single" w:sz="4" w:space="0" w:color="000000"/>
            </w:tcBorders>
            <w:shd w:val="clear" w:color="000000" w:fill="FFFF00"/>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I2</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LLDPE (alt.) - procesní voda do a z  tlakové nádrže</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SP62-20-003</w:t>
            </w: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propojovací černá 1/4"  hadička</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TUB3</w:t>
            </w:r>
            <w:r>
              <w:rPr>
                <w:rFonts w:ascii="Calibri" w:eastAsia="Times New Roman" w:hAnsi="Calibri" w:cs="Calibri"/>
                <w:color w:val="000000"/>
                <w:sz w:val="12"/>
                <w:szCs w:val="12"/>
                <w:lang w:val="en-GB" w:eastAsia="en-GB"/>
              </w:rPr>
              <w:t xml:space="preserve"> (connecting black hose)</w:t>
            </w:r>
          </w:p>
        </w:tc>
        <w:tc>
          <w:tcPr>
            <w:tcW w:w="837" w:type="dxa"/>
            <w:tcBorders>
              <w:bottom w:val="single" w:sz="4" w:space="0" w:color="000000"/>
              <w:right w:val="single" w:sz="4" w:space="0" w:color="000000"/>
            </w:tcBorders>
            <w:shd w:val="clear" w:color="000000" w:fill="000000"/>
            <w:vAlign w:val="center"/>
          </w:tcPr>
          <w:p w:rsidR="00287B1D" w:rsidRDefault="00BB6CB9">
            <w:pPr>
              <w:spacing w:after="0" w:line="240" w:lineRule="auto"/>
              <w:rPr>
                <w:rFonts w:ascii="Calibri" w:eastAsia="Times New Roman" w:hAnsi="Calibri" w:cs="Calibri"/>
                <w:color w:val="FFFFFF"/>
                <w:sz w:val="12"/>
                <w:szCs w:val="12"/>
                <w:lang w:val="en-GB" w:eastAsia="en-GB"/>
              </w:rPr>
            </w:pPr>
            <w:r>
              <w:rPr>
                <w:rFonts w:ascii="Calibri" w:eastAsia="Times New Roman" w:hAnsi="Calibri" w:cs="Calibri"/>
                <w:color w:val="FFFFFF"/>
                <w:sz w:val="12"/>
                <w:szCs w:val="12"/>
                <w:lang w:val="en-GB" w:eastAsia="en-GB"/>
              </w:rPr>
              <w:t>I3</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LLDPE (alt.) -  odpadní voda, výstup koncentrátu</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b/>
                <w:bCs/>
                <w:sz w:val="12"/>
                <w:szCs w:val="12"/>
                <w:lang w:val="en-GB" w:eastAsia="en-GB"/>
              </w:rPr>
            </w:pPr>
            <w:r>
              <w:rPr>
                <w:rFonts w:ascii="Calibri" w:eastAsia="Times New Roman" w:hAnsi="Calibri" w:cs="Calibri"/>
                <w:b/>
                <w:bCs/>
                <w:sz w:val="12"/>
                <w:szCs w:val="12"/>
                <w:lang w:val="en-GB" w:eastAsia="en-GB"/>
              </w:rPr>
              <w:t>SP62-20-004</w:t>
            </w:r>
          </w:p>
        </w:tc>
        <w:tc>
          <w:tcPr>
            <w:tcW w:w="2297" w:type="dxa"/>
            <w:tcBorders>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propojovací modrá  1/4"  hadička</w:t>
            </w:r>
          </w:p>
        </w:tc>
        <w:tc>
          <w:tcPr>
            <w:tcW w:w="2753" w:type="dxa"/>
            <w:gridSpan w:val="3"/>
            <w:tcBorders>
              <w:top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TUB4</w:t>
            </w:r>
            <w:r>
              <w:rPr>
                <w:rFonts w:ascii="Calibri" w:eastAsia="Times New Roman" w:hAnsi="Calibri" w:cs="Calibri"/>
                <w:color w:val="000000"/>
                <w:sz w:val="12"/>
                <w:szCs w:val="12"/>
                <w:lang w:val="en-GB" w:eastAsia="en-GB"/>
              </w:rPr>
              <w:t xml:space="preserve"> (connecting blue hose)</w:t>
            </w:r>
          </w:p>
        </w:tc>
        <w:tc>
          <w:tcPr>
            <w:tcW w:w="837" w:type="dxa"/>
            <w:tcBorders>
              <w:right w:val="single" w:sz="4" w:space="0" w:color="000000"/>
            </w:tcBorders>
            <w:shd w:val="clear" w:color="000000" w:fill="0000FF"/>
            <w:vAlign w:val="center"/>
          </w:tcPr>
          <w:p w:rsidR="00287B1D" w:rsidRDefault="00BB6CB9">
            <w:pPr>
              <w:spacing w:after="0" w:line="240" w:lineRule="auto"/>
              <w:rPr>
                <w:rFonts w:ascii="Calibri" w:eastAsia="Times New Roman" w:hAnsi="Calibri" w:cs="Calibri"/>
                <w:color w:val="FFFFFF"/>
                <w:sz w:val="12"/>
                <w:szCs w:val="12"/>
                <w:lang w:val="en-GB" w:eastAsia="en-GB"/>
              </w:rPr>
            </w:pPr>
            <w:r>
              <w:rPr>
                <w:rFonts w:ascii="Calibri" w:eastAsia="Times New Roman" w:hAnsi="Calibri" w:cs="Calibri"/>
                <w:color w:val="FFFFFF"/>
                <w:sz w:val="12"/>
                <w:szCs w:val="12"/>
                <w:lang w:val="en-GB" w:eastAsia="en-GB"/>
              </w:rPr>
              <w:t>I4</w:t>
            </w:r>
          </w:p>
        </w:tc>
        <w:tc>
          <w:tcPr>
            <w:tcW w:w="4068" w:type="dxa"/>
            <w:gridSpan w:val="7"/>
            <w:tcBorders>
              <w:top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LLDPE (alt.) - pitná voda, výstup do odběrového výstupního ventilu</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287B1D">
            <w:pPr>
              <w:spacing w:after="0" w:line="240" w:lineRule="auto"/>
              <w:rPr>
                <w:rFonts w:ascii="Calibri" w:eastAsia="Times New Roman" w:hAnsi="Calibri" w:cs="Calibri"/>
                <w:b/>
                <w:bCs/>
                <w:sz w:val="12"/>
                <w:szCs w:val="12"/>
                <w:lang w:val="en-GB" w:eastAsia="en-GB"/>
              </w:rPr>
            </w:pPr>
          </w:p>
        </w:tc>
        <w:tc>
          <w:tcPr>
            <w:tcW w:w="229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de-DE" w:eastAsia="en-GB"/>
              </w:rPr>
            </w:pPr>
            <w:r>
              <w:rPr>
                <w:rFonts w:ascii="Calibri" w:eastAsia="Times New Roman" w:hAnsi="Calibri" w:cs="Calibri"/>
                <w:color w:val="000000"/>
                <w:sz w:val="12"/>
                <w:szCs w:val="12"/>
                <w:lang w:val="de-DE" w:eastAsia="en-GB"/>
              </w:rPr>
              <w:t>plastový obal KM 120 x 80 x 27</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KP</w:t>
            </w:r>
            <w:r>
              <w:rPr>
                <w:rFonts w:ascii="Calibri" w:eastAsia="Times New Roman" w:hAnsi="Calibri" w:cs="Calibri"/>
                <w:color w:val="000000"/>
                <w:sz w:val="12"/>
                <w:szCs w:val="12"/>
                <w:lang w:val="en-GB" w:eastAsia="en-GB"/>
              </w:rPr>
              <w:t xml:space="preserve"> (plastic box)</w:t>
            </w:r>
          </w:p>
        </w:tc>
        <w:tc>
          <w:tcPr>
            <w:tcW w:w="837" w:type="dxa"/>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J1</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de-DE" w:eastAsia="en-GB"/>
              </w:rPr>
            </w:pPr>
            <w:r>
              <w:rPr>
                <w:rFonts w:ascii="Calibri" w:eastAsia="Times New Roman" w:hAnsi="Calibri" w:cs="Calibri"/>
                <w:color w:val="000000"/>
                <w:sz w:val="12"/>
                <w:szCs w:val="12"/>
                <w:lang w:val="de-DE" w:eastAsia="en-GB"/>
              </w:rPr>
              <w:t>ABS -  krabička Komunikačního modulu pro 1.0; 2.0</w:t>
            </w:r>
          </w:p>
        </w:tc>
        <w:tc>
          <w:tcPr>
            <w:tcW w:w="222" w:type="dxa"/>
          </w:tcPr>
          <w:p w:rsidR="00287B1D" w:rsidRDefault="00287B1D"/>
        </w:tc>
      </w:tr>
      <w:tr w:rsidR="00287B1D" w:rsidTr="00766381">
        <w:trPr>
          <w:trHeight w:val="300"/>
        </w:trPr>
        <w:tc>
          <w:tcPr>
            <w:tcW w:w="833" w:type="dxa"/>
            <w:tcBorders>
              <w:left w:val="single" w:sz="4" w:space="0" w:color="000000"/>
              <w:bottom w:val="single" w:sz="4" w:space="0" w:color="000000"/>
              <w:right w:val="single" w:sz="4" w:space="0" w:color="000000"/>
            </w:tcBorders>
            <w:shd w:val="clear" w:color="auto" w:fill="auto"/>
            <w:vAlign w:val="center"/>
          </w:tcPr>
          <w:p w:rsidR="00287B1D" w:rsidRDefault="00287B1D">
            <w:pPr>
              <w:spacing w:after="0" w:line="240" w:lineRule="auto"/>
              <w:rPr>
                <w:rFonts w:ascii="Calibri" w:eastAsia="Times New Roman" w:hAnsi="Calibri" w:cs="Calibri"/>
                <w:b/>
                <w:bCs/>
                <w:sz w:val="12"/>
                <w:szCs w:val="12"/>
                <w:lang w:val="de-DE" w:eastAsia="en-GB"/>
              </w:rPr>
            </w:pPr>
          </w:p>
        </w:tc>
        <w:tc>
          <w:tcPr>
            <w:tcW w:w="229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držák UV-C LED sada M + V</w:t>
            </w:r>
          </w:p>
        </w:tc>
        <w:tc>
          <w:tcPr>
            <w:tcW w:w="2753" w:type="dxa"/>
            <w:gridSpan w:val="3"/>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b/>
                <w:bCs/>
                <w:color w:val="000000"/>
                <w:sz w:val="12"/>
                <w:szCs w:val="12"/>
                <w:lang w:val="en-GB" w:eastAsia="en-GB"/>
              </w:rPr>
              <w:t>DUL</w:t>
            </w:r>
            <w:r>
              <w:rPr>
                <w:rFonts w:ascii="Calibri" w:eastAsia="Times New Roman" w:hAnsi="Calibri" w:cs="Calibri"/>
                <w:color w:val="000000"/>
                <w:sz w:val="12"/>
                <w:szCs w:val="12"/>
                <w:lang w:val="en-GB" w:eastAsia="en-GB"/>
              </w:rPr>
              <w:t xml:space="preserve"> (uv lamp holder)</w:t>
            </w:r>
          </w:p>
        </w:tc>
        <w:tc>
          <w:tcPr>
            <w:tcW w:w="837" w:type="dxa"/>
            <w:tcBorders>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J2</w:t>
            </w:r>
          </w:p>
        </w:tc>
        <w:tc>
          <w:tcPr>
            <w:tcW w:w="4068" w:type="dxa"/>
            <w:gridSpan w:val="7"/>
            <w:tcBorders>
              <w:top w:val="single" w:sz="4" w:space="0" w:color="000000"/>
              <w:bottom w:val="single" w:sz="4" w:space="0" w:color="000000"/>
              <w:right w:val="single" w:sz="4" w:space="0" w:color="000000"/>
            </w:tcBorders>
            <w:shd w:val="clear" w:color="auto" w:fill="auto"/>
            <w:vAlign w:val="center"/>
          </w:tcPr>
          <w:p w:rsidR="00287B1D" w:rsidRDefault="00BB6CB9">
            <w:pPr>
              <w:spacing w:after="0" w:line="240" w:lineRule="auto"/>
              <w:rPr>
                <w:rFonts w:ascii="Calibri" w:eastAsia="Times New Roman" w:hAnsi="Calibri" w:cs="Calibri"/>
                <w:color w:val="000000"/>
                <w:sz w:val="12"/>
                <w:szCs w:val="12"/>
                <w:lang w:val="en-GB" w:eastAsia="en-GB"/>
              </w:rPr>
            </w:pPr>
            <w:r>
              <w:rPr>
                <w:rFonts w:ascii="Calibri" w:eastAsia="Times New Roman" w:hAnsi="Calibri" w:cs="Calibri"/>
                <w:color w:val="000000"/>
                <w:sz w:val="12"/>
                <w:szCs w:val="12"/>
                <w:lang w:val="en-GB" w:eastAsia="en-GB"/>
              </w:rPr>
              <w:t>PET - 3D tisk  malý a velký držák</w:t>
            </w:r>
          </w:p>
        </w:tc>
        <w:tc>
          <w:tcPr>
            <w:tcW w:w="222" w:type="dxa"/>
          </w:tcPr>
          <w:p w:rsidR="00287B1D" w:rsidRDefault="00287B1D"/>
        </w:tc>
      </w:tr>
    </w:tbl>
    <w:p w:rsidR="00287B1D" w:rsidRDefault="00287B1D">
      <w:pPr>
        <w:spacing w:after="0"/>
        <w:rPr>
          <w:sz w:val="9"/>
          <w:szCs w:val="9"/>
        </w:rPr>
      </w:pPr>
    </w:p>
    <w:p w:rsidR="00287B1D" w:rsidRDefault="00BB6CB9">
      <w:pPr>
        <w:spacing w:after="0"/>
        <w:ind w:left="-709"/>
        <w:rPr>
          <w:sz w:val="10"/>
          <w:szCs w:val="10"/>
        </w:rPr>
      </w:pPr>
      <w:r>
        <w:rPr>
          <w:sz w:val="10"/>
          <w:szCs w:val="10"/>
        </w:rPr>
        <w:t>* Solar, Dual, volitelné příslušenství na objednávku</w:t>
      </w:r>
    </w:p>
    <w:p w:rsidR="00287B1D" w:rsidRDefault="00BB6CB9">
      <w:pPr>
        <w:spacing w:after="0"/>
        <w:ind w:left="-709"/>
        <w:rPr>
          <w:sz w:val="10"/>
          <w:szCs w:val="10"/>
        </w:rPr>
      </w:pPr>
      <w:r>
        <w:rPr>
          <w:sz w:val="10"/>
          <w:szCs w:val="10"/>
        </w:rPr>
        <w:t>** Zásobní nádrž 12 litrů v základu</w:t>
      </w:r>
    </w:p>
    <w:p w:rsidR="00287B1D" w:rsidRDefault="00BB6CB9">
      <w:pPr>
        <w:spacing w:after="0"/>
        <w:ind w:left="-709"/>
        <w:rPr>
          <w:sz w:val="10"/>
          <w:szCs w:val="10"/>
        </w:rPr>
      </w:pPr>
      <w:r>
        <w:rPr>
          <w:sz w:val="10"/>
          <w:szCs w:val="10"/>
        </w:rPr>
        <w:t>*** Zásobní nádrž 100 litrů v základu</w:t>
      </w:r>
    </w:p>
    <w:p w:rsidR="00287B1D" w:rsidRDefault="00BB6CB9">
      <w:pPr>
        <w:spacing w:after="0"/>
        <w:ind w:left="-709"/>
        <w:rPr>
          <w:sz w:val="10"/>
          <w:szCs w:val="10"/>
        </w:rPr>
      </w:pPr>
      <w:r>
        <w:rPr>
          <w:sz w:val="10"/>
          <w:szCs w:val="10"/>
        </w:rPr>
        <w:t>*** Možnost dodání zásobní nádrže: 12-18-35-60-80-100-150 litrů</w:t>
      </w:r>
    </w:p>
    <w:p w:rsidR="00287B1D" w:rsidRDefault="00BB6CB9">
      <w:pPr>
        <w:spacing w:after="0"/>
        <w:ind w:left="-709"/>
        <w:rPr>
          <w:sz w:val="10"/>
          <w:szCs w:val="10"/>
        </w:rPr>
      </w:pPr>
      <w:r>
        <w:rPr>
          <w:sz w:val="10"/>
          <w:szCs w:val="10"/>
        </w:rPr>
        <w:t>**** Možnost výběru rozbočovačů k zásobní nádrži: RP1-RP2-RP3-RP4-RP5-RP6-RP7-RP8</w:t>
      </w:r>
    </w:p>
    <w:p w:rsidR="00287B1D" w:rsidRDefault="00BB6CB9">
      <w:pPr>
        <w:spacing w:after="0"/>
        <w:ind w:left="-709"/>
        <w:rPr>
          <w:sz w:val="10"/>
          <w:szCs w:val="10"/>
        </w:rPr>
      </w:pPr>
      <w:r>
        <w:rPr>
          <w:sz w:val="10"/>
          <w:szCs w:val="10"/>
          <w:vertAlign w:val="superscript"/>
        </w:rPr>
        <w:t>11)</w:t>
      </w:r>
      <w:r>
        <w:rPr>
          <w:sz w:val="10"/>
          <w:szCs w:val="10"/>
        </w:rPr>
        <w:t>Bez upřesnění typu balíčku v objednávce, dodáváme v základu toto provedení, dodanou kombinaci lze kdykoli změnit</w:t>
      </w:r>
    </w:p>
    <w:p w:rsidR="00287B1D" w:rsidRDefault="00BB6CB9">
      <w:pPr>
        <w:spacing w:after="0"/>
        <w:ind w:left="-709"/>
        <w:rPr>
          <w:sz w:val="10"/>
          <w:szCs w:val="10"/>
        </w:rPr>
      </w:pPr>
      <w:r>
        <w:rPr>
          <w:sz w:val="10"/>
          <w:szCs w:val="10"/>
          <w:vertAlign w:val="superscript"/>
        </w:rPr>
        <w:t>12)</w:t>
      </w:r>
      <w:r>
        <w:rPr>
          <w:sz w:val="10"/>
          <w:szCs w:val="10"/>
        </w:rPr>
        <w:t>V základu dodáváme vložku motaného progresivního filtru s porozitou: 5 µm</w:t>
      </w:r>
    </w:p>
    <w:p w:rsidR="00287B1D" w:rsidRDefault="00BB6CB9">
      <w:pPr>
        <w:spacing w:after="0"/>
        <w:ind w:left="-709"/>
        <w:rPr>
          <w:sz w:val="10"/>
          <w:szCs w:val="10"/>
        </w:rPr>
      </w:pPr>
      <w:r>
        <w:rPr>
          <w:sz w:val="10"/>
          <w:szCs w:val="10"/>
          <w:vertAlign w:val="superscript"/>
        </w:rPr>
        <w:t>13)</w:t>
      </w:r>
      <w:r>
        <w:rPr>
          <w:sz w:val="10"/>
          <w:szCs w:val="10"/>
        </w:rPr>
        <w:t xml:space="preserve"> VP Volitelné příslušenství lze objednat na základě konkrétního rozboru vody, hlavně zákalu – NTU</w:t>
      </w:r>
    </w:p>
    <w:p w:rsidR="00287B1D" w:rsidRDefault="00287B1D">
      <w:pPr>
        <w:spacing w:after="0"/>
        <w:ind w:left="-709"/>
        <w:rPr>
          <w:sz w:val="10"/>
          <w:szCs w:val="10"/>
        </w:rPr>
      </w:pPr>
    </w:p>
    <w:p w:rsidR="00287B1D" w:rsidRDefault="00BB6CB9">
      <w:pPr>
        <w:ind w:left="-284" w:right="850"/>
        <w:jc w:val="center"/>
        <w:rPr>
          <w:sz w:val="14"/>
          <w:szCs w:val="14"/>
        </w:rPr>
      </w:pPr>
      <w:proofErr w:type="gramStart"/>
      <w:r>
        <w:rPr>
          <w:sz w:val="14"/>
          <w:szCs w:val="14"/>
        </w:rPr>
        <w:t>Obr.41</w:t>
      </w:r>
      <w:proofErr w:type="gramEnd"/>
      <w:r>
        <w:rPr>
          <w:sz w:val="14"/>
          <w:szCs w:val="14"/>
        </w:rPr>
        <w:t xml:space="preserve">; </w:t>
      </w:r>
      <w:proofErr w:type="gramStart"/>
      <w:r>
        <w:rPr>
          <w:sz w:val="14"/>
          <w:szCs w:val="14"/>
        </w:rPr>
        <w:t>Tab.5</w:t>
      </w:r>
      <w:r>
        <w:rPr>
          <w:rFonts w:ascii="Arial" w:eastAsia="Times New Roman" w:hAnsi="Arial" w:cs="Arial"/>
          <w:bCs/>
          <w:sz w:val="14"/>
          <w:szCs w:val="14"/>
          <w:lang w:eastAsia="cs-CZ"/>
        </w:rPr>
        <w:t>↑</w:t>
      </w:r>
      <w:r>
        <w:rPr>
          <w:rFonts w:eastAsia="Times New Roman" w:cs="Times New Roman"/>
          <w:bCs/>
          <w:sz w:val="14"/>
          <w:szCs w:val="14"/>
          <w:lang w:eastAsia="cs-CZ"/>
        </w:rPr>
        <w:t xml:space="preserve"> Vzor</w:t>
      </w:r>
      <w:proofErr w:type="gramEnd"/>
      <w:r>
        <w:rPr>
          <w:rFonts w:eastAsia="Times New Roman" w:cs="Times New Roman"/>
          <w:bCs/>
          <w:sz w:val="14"/>
          <w:szCs w:val="14"/>
          <w:lang w:eastAsia="cs-CZ"/>
        </w:rPr>
        <w:t xml:space="preserve"> t</w:t>
      </w:r>
      <w:r>
        <w:rPr>
          <w:sz w:val="14"/>
          <w:szCs w:val="14"/>
        </w:rPr>
        <w:t xml:space="preserve">abulky náhradních dílů pro modely AQ3 Mini 1; 2, </w:t>
      </w:r>
      <w:r>
        <w:rPr>
          <w:rFonts w:eastAsia="Times New Roman" w:cs="Calibri"/>
          <w:bCs/>
          <w:sz w:val="14"/>
          <w:szCs w:val="14"/>
          <w:lang w:eastAsia="cs-CZ"/>
        </w:rPr>
        <w:t xml:space="preserve">více na </w:t>
      </w:r>
      <w:hyperlink r:id="rId364">
        <w:r>
          <w:rPr>
            <w:rStyle w:val="Internetovodkaz"/>
            <w:rFonts w:eastAsia="Times New Roman" w:cs="Calibri"/>
            <w:bCs/>
            <w:sz w:val="14"/>
            <w:szCs w:val="14"/>
            <w:lang w:eastAsia="cs-CZ"/>
          </w:rPr>
          <w:t>www.vti-cz.com</w:t>
        </w:r>
      </w:hyperlink>
      <w:r>
        <w:rPr>
          <w:rFonts w:eastAsia="Times New Roman" w:cs="Calibri"/>
          <w:bCs/>
          <w:sz w:val="14"/>
          <w:szCs w:val="14"/>
          <w:lang w:eastAsia="cs-CZ"/>
        </w:rPr>
        <w:t>, v sekci ke stažení</w:t>
      </w:r>
    </w:p>
    <w:p w:rsidR="00287B1D" w:rsidRDefault="00BB6CB9">
      <w:pPr>
        <w:tabs>
          <w:tab w:val="left" w:pos="9781"/>
        </w:tabs>
        <w:ind w:left="-709" w:right="283"/>
        <w:jc w:val="both"/>
        <w:rPr>
          <w:lang w:eastAsia="cs-CZ"/>
        </w:rPr>
      </w:pPr>
      <w:r>
        <w:t xml:space="preserve">Pozn. Veškeré texty zde </w:t>
      </w:r>
      <w:proofErr w:type="gramStart"/>
      <w:r>
        <w:t>uveřejněné,  v prospektech</w:t>
      </w:r>
      <w:proofErr w:type="gramEnd"/>
      <w:r>
        <w:t xml:space="preserve"> či webových stránkách, nemusí být vždy aktualizované, průběžně se doplňují a </w:t>
      </w:r>
      <w:r>
        <w:rPr>
          <w:lang w:eastAsia="cs-CZ"/>
        </w:rPr>
        <w:t xml:space="preserve"> jsou dle nejlepšího vědomí údaji, které se stávají  závaznými po upřesnění (typicky po reakci na  Poptávkový list nebo Dotazník), až v </w:t>
      </w:r>
      <w:r>
        <w:rPr>
          <w:b/>
          <w:bCs/>
          <w:lang w:eastAsia="cs-CZ"/>
        </w:rPr>
        <w:t>potvrzených</w:t>
      </w:r>
      <w:r>
        <w:rPr>
          <w:lang w:eastAsia="cs-CZ"/>
        </w:rPr>
        <w:t xml:space="preserve"> objednávkách. Nelze je proto vytrhnout nebo použít  bez dalšího kontextu,  jako obecně závazné podklady.</w:t>
      </w:r>
    </w:p>
    <w:p w:rsidR="00287B1D" w:rsidRDefault="00BB6CB9">
      <w:pPr>
        <w:pStyle w:val="Normlnweb"/>
        <w:tabs>
          <w:tab w:val="left" w:pos="9356"/>
        </w:tabs>
        <w:spacing w:beforeAutospacing="0" w:after="0" w:afterAutospacing="0"/>
        <w:ind w:left="-142" w:right="850"/>
        <w:jc w:val="both"/>
        <w:rPr>
          <w:rFonts w:ascii="Verdana" w:hAnsi="Verdana"/>
          <w:color w:val="7030A0"/>
          <w:sz w:val="14"/>
          <w:szCs w:val="14"/>
          <w:highlight w:val="white"/>
        </w:rPr>
      </w:pPr>
      <w:r>
        <w:rPr>
          <w:rFonts w:ascii="Verdana" w:hAnsi="Verdana"/>
          <w:color w:val="7030A0"/>
          <w:sz w:val="14"/>
          <w:szCs w:val="14"/>
          <w:shd w:val="clear" w:color="auto" w:fill="FFFFFF"/>
        </w:rPr>
        <w:t>Pozn.</w:t>
      </w:r>
      <w:r>
        <w:rPr>
          <w:rFonts w:ascii="Verdana" w:hAnsi="Verdana"/>
          <w:color w:val="7030A0"/>
          <w:sz w:val="22"/>
          <w:szCs w:val="22"/>
          <w:shd w:val="clear" w:color="auto" w:fill="FFFFFF"/>
        </w:rPr>
        <w:t xml:space="preserve"> </w:t>
      </w:r>
      <w:r>
        <w:rPr>
          <w:rFonts w:ascii="Verdana" w:hAnsi="Verdana"/>
          <w:color w:val="7030A0"/>
          <w:sz w:val="14"/>
          <w:szCs w:val="14"/>
          <w:shd w:val="clear" w:color="auto" w:fill="FFFFFF"/>
        </w:rPr>
        <w:t>Některé funkce nebo modely nemusí být v současné době  plně dostupné, některé jsou v </w:t>
      </w:r>
      <w:proofErr w:type="gramStart"/>
      <w:r>
        <w:rPr>
          <w:rFonts w:ascii="Verdana" w:hAnsi="Verdana"/>
          <w:color w:val="7030A0"/>
          <w:sz w:val="14"/>
          <w:szCs w:val="14"/>
          <w:shd w:val="clear" w:color="auto" w:fill="FFFFFF"/>
        </w:rPr>
        <w:t>beta</w:t>
      </w:r>
      <w:proofErr w:type="gramEnd"/>
      <w:r>
        <w:rPr>
          <w:rFonts w:ascii="Verdana" w:hAnsi="Verdana"/>
          <w:color w:val="7030A0"/>
          <w:sz w:val="14"/>
          <w:szCs w:val="14"/>
          <w:shd w:val="clear" w:color="auto" w:fill="FFFFFF"/>
        </w:rPr>
        <w:t xml:space="preserve"> testování, některé podléhají schvalovacímu procesu v dané zemi, kdy se  průběžně pracuje na jejich zprovoznění. Ovládací software se neustále vyvíjí. Nová verze může změnit některé funkce. Obrázky a popisy mají pouze informativní charakter. Pokud si všimnete chyby, prosíme o její nahlášení. Uděláme vše proto, abychom ji odstranili. </w:t>
      </w:r>
    </w:p>
    <w:p w:rsidR="00287B1D" w:rsidRDefault="00287B1D">
      <w:pPr>
        <w:pStyle w:val="Normlnweb"/>
        <w:tabs>
          <w:tab w:val="left" w:pos="9356"/>
        </w:tabs>
        <w:spacing w:beforeAutospacing="0" w:after="0" w:afterAutospacing="0"/>
        <w:ind w:left="-142" w:right="850"/>
        <w:jc w:val="both"/>
        <w:rPr>
          <w:rFonts w:ascii="Verdana" w:hAnsi="Verdana"/>
          <w:sz w:val="14"/>
          <w:szCs w:val="14"/>
        </w:rPr>
      </w:pPr>
    </w:p>
    <w:p w:rsidR="00287B1D" w:rsidRDefault="00287B1D">
      <w:pPr>
        <w:pStyle w:val="Normlnweb"/>
        <w:tabs>
          <w:tab w:val="left" w:pos="9356"/>
        </w:tabs>
        <w:spacing w:beforeAutospacing="0" w:after="0" w:afterAutospacing="0"/>
        <w:ind w:left="-142" w:right="850"/>
        <w:jc w:val="both"/>
        <w:rPr>
          <w:rFonts w:ascii="Verdana" w:hAnsi="Verdana"/>
          <w:sz w:val="14"/>
          <w:szCs w:val="14"/>
        </w:rPr>
      </w:pPr>
    </w:p>
    <w:p w:rsidR="00287B1D" w:rsidRDefault="00287B1D">
      <w:pPr>
        <w:pStyle w:val="Normlnweb"/>
        <w:tabs>
          <w:tab w:val="left" w:pos="9356"/>
        </w:tabs>
        <w:spacing w:beforeAutospacing="0" w:after="0" w:afterAutospacing="0"/>
        <w:ind w:left="-142" w:right="850"/>
        <w:jc w:val="both"/>
        <w:rPr>
          <w:rFonts w:ascii="Verdana" w:hAnsi="Verdana"/>
          <w:sz w:val="14"/>
          <w:szCs w:val="14"/>
        </w:rPr>
      </w:pPr>
    </w:p>
    <w:p w:rsidR="00287B1D" w:rsidRDefault="00287B1D">
      <w:pPr>
        <w:pStyle w:val="Normlnweb"/>
        <w:tabs>
          <w:tab w:val="left" w:pos="9356"/>
        </w:tabs>
        <w:spacing w:beforeAutospacing="0" w:after="0" w:afterAutospacing="0"/>
        <w:ind w:left="-142" w:right="850"/>
        <w:jc w:val="both"/>
        <w:rPr>
          <w:rFonts w:ascii="Verdana" w:hAnsi="Verdana"/>
          <w:sz w:val="14"/>
          <w:szCs w:val="14"/>
        </w:rPr>
      </w:pPr>
    </w:p>
    <w:p w:rsidR="00287B1D" w:rsidRDefault="00BB6CB9">
      <w:pPr>
        <w:pStyle w:val="Normlnweb"/>
        <w:tabs>
          <w:tab w:val="left" w:pos="9781"/>
        </w:tabs>
        <w:spacing w:beforeAutospacing="0" w:after="0" w:afterAutospacing="0"/>
        <w:ind w:left="-709" w:right="283"/>
        <w:jc w:val="both"/>
        <w:rPr>
          <w:sz w:val="14"/>
          <w:szCs w:val="14"/>
        </w:rPr>
      </w:pPr>
      <w:r>
        <w:rPr>
          <w:sz w:val="14"/>
          <w:szCs w:val="14"/>
        </w:rPr>
        <w:t>------------------------------------------------------------------------------------------------------------------------------------------------------------------------------------------------------------</w:t>
      </w:r>
    </w:p>
    <w:p w:rsidR="00287B1D" w:rsidRDefault="00BB6CB9">
      <w:pPr>
        <w:tabs>
          <w:tab w:val="left" w:pos="9781"/>
        </w:tabs>
        <w:ind w:left="-709" w:right="283"/>
        <w:contextualSpacing/>
        <w:jc w:val="both"/>
        <w:rPr>
          <w:rFonts w:eastAsiaTheme="minorEastAsia"/>
          <w:lang w:eastAsia="cs-CZ"/>
        </w:rPr>
      </w:pPr>
      <w:r>
        <w:rPr>
          <w:rFonts w:eastAsiaTheme="minorEastAsia"/>
          <w:lang w:eastAsia="cs-CZ"/>
        </w:rPr>
        <w:t xml:space="preserve">„Copyright </w:t>
      </w:r>
      <w:r>
        <w:rPr>
          <w:rFonts w:eastAsiaTheme="minorEastAsia"/>
          <w:b/>
          <w:bCs/>
          <w:lang w:eastAsia="cs-CZ"/>
        </w:rPr>
        <w:t>©</w:t>
      </w:r>
      <w:r>
        <w:rPr>
          <w:rFonts w:eastAsiaTheme="minorEastAsia"/>
          <w:lang w:eastAsia="cs-CZ"/>
        </w:rPr>
        <w:t xml:space="preserve"> 2011 - 202</w:t>
      </w:r>
      <w:r w:rsidR="00766381">
        <w:rPr>
          <w:rFonts w:eastAsiaTheme="minorEastAsia"/>
          <w:lang w:eastAsia="cs-CZ"/>
        </w:rPr>
        <w:t>2</w:t>
      </w:r>
      <w:r>
        <w:rPr>
          <w:rFonts w:eastAsiaTheme="minorEastAsia"/>
          <w:lang w:eastAsia="cs-CZ"/>
        </w:rPr>
        <w:t xml:space="preserve">/Carvan - VTI - všechna práva vyhrazena“ Ochrana díla dle zákona </w:t>
      </w:r>
      <w:r>
        <w:rPr>
          <w:rFonts w:eastAsiaTheme="minorEastAsia"/>
          <w:b/>
          <w:bCs/>
          <w:lang w:eastAsia="cs-CZ"/>
        </w:rPr>
        <w:t>č. 121/2000</w:t>
      </w:r>
      <w:r>
        <w:rPr>
          <w:rFonts w:eastAsiaTheme="minorEastAsia"/>
          <w:lang w:eastAsia="cs-CZ"/>
        </w:rPr>
        <w:t xml:space="preserve"> Sb. včetně novelizací k </w:t>
      </w:r>
      <w:proofErr w:type="gramStart"/>
      <w:r>
        <w:rPr>
          <w:rFonts w:eastAsiaTheme="minorEastAsia"/>
          <w:b/>
          <w:bCs/>
          <w:lang w:eastAsia="cs-CZ"/>
        </w:rPr>
        <w:t>1.1.2019</w:t>
      </w:r>
      <w:proofErr w:type="gramEnd"/>
      <w:r>
        <w:rPr>
          <w:rFonts w:eastAsiaTheme="minorEastAsia"/>
          <w:lang w:eastAsia="cs-CZ"/>
        </w:rPr>
        <w:t xml:space="preserve"> „o právu autorském </w:t>
      </w:r>
      <w:r>
        <w:rPr>
          <w:rFonts w:eastAsiaTheme="minorEastAsia"/>
          <w:b/>
          <w:bCs/>
          <w:lang w:eastAsia="cs-CZ"/>
        </w:rPr>
        <w:t>§ 9, 30, 31</w:t>
      </w:r>
      <w:r>
        <w:rPr>
          <w:rFonts w:eastAsiaTheme="minorEastAsia"/>
          <w:lang w:eastAsia="cs-CZ"/>
        </w:rPr>
        <w:t xml:space="preserve">. </w:t>
      </w:r>
      <w:r>
        <w:rPr>
          <w:rFonts w:eastAsiaTheme="minorEastAsia"/>
          <w:lang w:eastAsia="cs-CZ"/>
        </w:rPr>
        <w:lastRenderedPageBreak/>
        <w:t xml:space="preserve">Veškeré informace jsou v režimu důvěrné. Jakékoli kopírování, rozmnožování či předání informací  přímo nebo nepřímo třetí osobě, je možné </w:t>
      </w:r>
      <w:r>
        <w:rPr>
          <w:rFonts w:eastAsiaTheme="minorEastAsia"/>
          <w:u w:val="single"/>
          <w:lang w:eastAsia="cs-CZ"/>
        </w:rPr>
        <w:t>jen s písemným  souhlasem organizace</w:t>
      </w:r>
      <w:r>
        <w:rPr>
          <w:rFonts w:eastAsiaTheme="minorEastAsia"/>
          <w:lang w:eastAsia="cs-CZ"/>
        </w:rPr>
        <w:t xml:space="preserve">, více na </w:t>
      </w:r>
      <w:hyperlink r:id="rId365">
        <w:r>
          <w:rPr>
            <w:rStyle w:val="Internetovodkaz"/>
            <w:rFonts w:eastAsiaTheme="minorEastAsia"/>
            <w:lang w:eastAsia="cs-CZ"/>
          </w:rPr>
          <w:t>www.vti-cz.com</w:t>
        </w:r>
      </w:hyperlink>
      <w:r>
        <w:rPr>
          <w:rFonts w:eastAsiaTheme="minorEastAsia"/>
          <w:lang w:eastAsia="cs-CZ"/>
        </w:rPr>
        <w:t>, v sekci Obchodní podmínky (</w:t>
      </w:r>
      <w:r>
        <w:rPr>
          <w:rFonts w:eastAsiaTheme="minorEastAsia"/>
          <w:b/>
          <w:bCs/>
          <w:lang w:eastAsia="cs-CZ"/>
        </w:rPr>
        <w:t>VORP</w:t>
      </w:r>
      <w:r>
        <w:rPr>
          <w:rFonts w:eastAsiaTheme="minorEastAsia"/>
          <w:lang w:eastAsia="cs-CZ"/>
        </w:rPr>
        <w:t xml:space="preserve"> článek </w:t>
      </w:r>
      <w:r>
        <w:rPr>
          <w:rFonts w:eastAsiaTheme="minorEastAsia"/>
          <w:b/>
          <w:bCs/>
          <w:lang w:eastAsia="cs-CZ"/>
        </w:rPr>
        <w:t>12</w:t>
      </w:r>
      <w:r>
        <w:rPr>
          <w:rFonts w:eastAsiaTheme="minorEastAsia"/>
          <w:lang w:eastAsia="cs-CZ"/>
        </w:rPr>
        <w:t xml:space="preserve">, odst. </w:t>
      </w:r>
      <w:r>
        <w:rPr>
          <w:rFonts w:eastAsiaTheme="minorEastAsia"/>
          <w:b/>
          <w:bCs/>
          <w:lang w:eastAsia="cs-CZ"/>
        </w:rPr>
        <w:t>1; 2; 3; 4; 5,</w:t>
      </w:r>
      <w:r>
        <w:rPr>
          <w:rFonts w:eastAsiaTheme="minorEastAsia"/>
          <w:lang w:eastAsia="cs-CZ"/>
        </w:rPr>
        <w:t xml:space="preserve"> článek </w:t>
      </w:r>
      <w:r>
        <w:rPr>
          <w:rFonts w:eastAsiaTheme="minorEastAsia"/>
          <w:b/>
          <w:bCs/>
          <w:lang w:eastAsia="cs-CZ"/>
        </w:rPr>
        <w:t>16</w:t>
      </w:r>
      <w:r>
        <w:rPr>
          <w:rFonts w:eastAsiaTheme="minorEastAsia"/>
          <w:lang w:eastAsia="cs-CZ"/>
        </w:rPr>
        <w:t xml:space="preserve">, odst. </w:t>
      </w:r>
      <w:r>
        <w:rPr>
          <w:rFonts w:eastAsiaTheme="minorEastAsia"/>
          <w:b/>
          <w:bCs/>
          <w:lang w:eastAsia="cs-CZ"/>
        </w:rPr>
        <w:t>2</w:t>
      </w:r>
      <w:r>
        <w:rPr>
          <w:rFonts w:eastAsiaTheme="minorEastAsia"/>
          <w:lang w:eastAsia="cs-CZ"/>
        </w:rPr>
        <w:t>)</w:t>
      </w:r>
    </w:p>
    <w:p w:rsidR="00287B1D" w:rsidRDefault="00BB6CB9">
      <w:pPr>
        <w:pBdr>
          <w:top w:val="single" w:sz="4" w:space="1" w:color="000000"/>
          <w:left w:val="single" w:sz="4" w:space="4" w:color="000000"/>
          <w:bottom w:val="single" w:sz="4" w:space="1" w:color="000000"/>
          <w:right w:val="single" w:sz="4" w:space="31" w:color="000000"/>
        </w:pBdr>
        <w:spacing w:before="240" w:after="0" w:line="178" w:lineRule="exact"/>
        <w:ind w:left="-709" w:right="520"/>
        <w:jc w:val="center"/>
        <w:rPr>
          <w:rFonts w:eastAsia="Times New Roman" w:cs="Times New Roman"/>
          <w:sz w:val="18"/>
          <w:szCs w:val="18"/>
          <w:lang w:eastAsia="cs-CZ"/>
        </w:rPr>
      </w:pPr>
      <w:r>
        <w:rPr>
          <w:bCs/>
          <w:sz w:val="18"/>
          <w:szCs w:val="18"/>
        </w:rPr>
        <w:t>Filtrační technologie AQ3</w:t>
      </w:r>
    </w:p>
    <w:p w:rsidR="00287B1D" w:rsidRDefault="00BB6CB9">
      <w:pPr>
        <w:pBdr>
          <w:top w:val="single" w:sz="4" w:space="1" w:color="000000"/>
          <w:left w:val="single" w:sz="4" w:space="4" w:color="000000"/>
          <w:bottom w:val="single" w:sz="4" w:space="1" w:color="000000"/>
          <w:right w:val="single" w:sz="4" w:space="4" w:color="000000"/>
        </w:pBdr>
        <w:tabs>
          <w:tab w:val="left" w:pos="9072"/>
        </w:tabs>
        <w:spacing w:before="240" w:after="0" w:line="178" w:lineRule="exact"/>
        <w:ind w:left="-709"/>
        <w:jc w:val="both"/>
        <w:rPr>
          <w:rFonts w:asciiTheme="minorHAnsi" w:eastAsia="Times New Roman" w:hAnsiTheme="minorHAnsi" w:cstheme="minorHAnsi"/>
          <w:sz w:val="24"/>
          <w:szCs w:val="24"/>
          <w:lang w:eastAsia="cs-CZ"/>
        </w:rPr>
      </w:pPr>
      <w:r>
        <w:rPr>
          <w:rFonts w:asciiTheme="minorHAnsi" w:eastAsia="Times New Roman" w:hAnsiTheme="minorHAnsi" w:cstheme="minorHAnsi"/>
          <w:sz w:val="12"/>
          <w:szCs w:val="12"/>
          <w:lang w:eastAsia="cs-CZ"/>
        </w:rPr>
        <w:t xml:space="preserve"> Je vyrobena v </w:t>
      </w:r>
      <w:proofErr w:type="gramStart"/>
      <w:r>
        <w:rPr>
          <w:rFonts w:asciiTheme="minorHAnsi" w:eastAsia="Times New Roman" w:hAnsiTheme="minorHAnsi" w:cstheme="minorHAnsi"/>
          <w:sz w:val="12"/>
          <w:szCs w:val="12"/>
          <w:lang w:eastAsia="cs-CZ"/>
        </w:rPr>
        <w:t xml:space="preserve">souladu </w:t>
      </w:r>
      <w:r>
        <w:rPr>
          <w:rFonts w:eastAsia="Times New Roman" w:cstheme="minorHAnsi"/>
          <w:sz w:val="12"/>
          <w:szCs w:val="12"/>
          <w:lang w:eastAsia="cs-CZ"/>
        </w:rPr>
        <w:t xml:space="preserve"> </w:t>
      </w:r>
      <w:r>
        <w:rPr>
          <w:rFonts w:asciiTheme="minorHAnsi" w:eastAsia="Times New Roman" w:hAnsiTheme="minorHAnsi" w:cstheme="minorHAnsi"/>
          <w:sz w:val="12"/>
          <w:szCs w:val="12"/>
          <w:lang w:eastAsia="cs-CZ"/>
        </w:rPr>
        <w:t>s nařízením</w:t>
      </w:r>
      <w:proofErr w:type="gramEnd"/>
      <w:r>
        <w:rPr>
          <w:rFonts w:asciiTheme="minorHAnsi" w:eastAsia="Times New Roman" w:hAnsiTheme="minorHAnsi" w:cstheme="minorHAnsi"/>
          <w:sz w:val="12"/>
          <w:szCs w:val="12"/>
          <w:lang w:eastAsia="cs-CZ"/>
        </w:rPr>
        <w:t xml:space="preserve"> vlády</w:t>
      </w:r>
      <w:r w:rsidR="002D2C9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č. 17/2003</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Sb</w:t>
      </w:r>
      <w:r>
        <w:rPr>
          <w:rFonts w:asciiTheme="minorHAnsi" w:eastAsia="Times New Roman" w:hAnsiTheme="minorHAnsi" w:cstheme="minorHAnsi"/>
          <w:sz w:val="12"/>
          <w:szCs w:val="12"/>
          <w:lang w:eastAsia="cs-CZ"/>
        </w:rPr>
        <w:t xml:space="preserve">., které je ekvivalentní </w:t>
      </w:r>
      <w:r w:rsidR="00693219">
        <w:rPr>
          <w:rFonts w:asciiTheme="minorHAnsi" w:eastAsia="Times New Roman" w:hAnsiTheme="minorHAnsi" w:cstheme="minorHAnsi"/>
          <w:sz w:val="12"/>
          <w:szCs w:val="12"/>
          <w:lang w:eastAsia="cs-CZ"/>
        </w:rPr>
        <w:t xml:space="preserve">k </w:t>
      </w:r>
      <w:r>
        <w:rPr>
          <w:rFonts w:asciiTheme="minorHAnsi" w:eastAsia="Times New Roman" w:hAnsiTheme="minorHAnsi" w:cstheme="minorHAnsi"/>
          <w:sz w:val="12"/>
          <w:szCs w:val="12"/>
          <w:lang w:eastAsia="cs-CZ"/>
        </w:rPr>
        <w:t xml:space="preserve">směrnici rady </w:t>
      </w:r>
      <w:r w:rsidR="002D2C9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č. 2006/95/ES</w:t>
      </w:r>
      <w:r>
        <w:rPr>
          <w:rFonts w:asciiTheme="minorHAnsi" w:eastAsia="Times New Roman" w:hAnsiTheme="minorHAnsi" w:cstheme="minorHAnsi"/>
          <w:sz w:val="12"/>
          <w:szCs w:val="12"/>
          <w:lang w:eastAsia="cs-CZ"/>
        </w:rPr>
        <w:t>, nařízení vlády</w:t>
      </w:r>
      <w:r w:rsidR="002D2C9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č. 616/2006</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Sb.</w:t>
      </w:r>
      <w:r>
        <w:rPr>
          <w:rFonts w:asciiTheme="minorHAnsi" w:eastAsia="Times New Roman" w:hAnsiTheme="minorHAnsi" w:cstheme="minorHAnsi"/>
          <w:sz w:val="12"/>
          <w:szCs w:val="12"/>
          <w:lang w:eastAsia="cs-CZ"/>
        </w:rPr>
        <w:t xml:space="preserve">, které je ekvivalentní </w:t>
      </w:r>
      <w:r w:rsidR="00693219">
        <w:rPr>
          <w:rFonts w:asciiTheme="minorHAnsi" w:eastAsia="Times New Roman" w:hAnsiTheme="minorHAnsi" w:cstheme="minorHAnsi"/>
          <w:sz w:val="12"/>
          <w:szCs w:val="12"/>
          <w:lang w:eastAsia="cs-CZ"/>
        </w:rPr>
        <w:t xml:space="preserve">k </w:t>
      </w:r>
      <w:r>
        <w:rPr>
          <w:rFonts w:asciiTheme="minorHAnsi" w:eastAsia="Times New Roman" w:hAnsiTheme="minorHAnsi" w:cstheme="minorHAnsi"/>
          <w:sz w:val="12"/>
          <w:szCs w:val="12"/>
          <w:lang w:eastAsia="cs-CZ"/>
        </w:rPr>
        <w:t>směrnici rady</w:t>
      </w:r>
      <w:r w:rsidR="002D2C9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č.</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2004/108/ES,</w:t>
      </w:r>
      <w:r>
        <w:rPr>
          <w:rFonts w:asciiTheme="minorHAnsi" w:eastAsia="Times New Roman" w:hAnsiTheme="minorHAnsi" w:cstheme="minorHAnsi"/>
          <w:sz w:val="12"/>
          <w:szCs w:val="12"/>
          <w:lang w:eastAsia="cs-CZ"/>
        </w:rPr>
        <w:t xml:space="preserve"> nařízení vlády </w:t>
      </w:r>
      <w:r w:rsidRPr="002D2C97">
        <w:rPr>
          <w:rFonts w:asciiTheme="minorHAnsi" w:eastAsia="Times New Roman" w:hAnsiTheme="minorHAnsi" w:cstheme="minorHAnsi"/>
          <w:b/>
          <w:sz w:val="12"/>
          <w:szCs w:val="12"/>
          <w:lang w:eastAsia="cs-CZ"/>
        </w:rPr>
        <w:t>č.</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176/2008 Sb.</w:t>
      </w:r>
      <w:r>
        <w:rPr>
          <w:rFonts w:asciiTheme="minorHAnsi" w:eastAsia="Times New Roman" w:hAnsiTheme="minorHAnsi" w:cstheme="minorHAnsi"/>
          <w:sz w:val="12"/>
          <w:szCs w:val="12"/>
          <w:lang w:eastAsia="cs-CZ"/>
        </w:rPr>
        <w:t xml:space="preserve"> ve znění nařízení vlády</w:t>
      </w:r>
      <w:r w:rsidR="002D2C9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w:t>
      </w:r>
      <w:r w:rsidRPr="002E6F85">
        <w:rPr>
          <w:rFonts w:asciiTheme="minorHAnsi" w:eastAsia="Times New Roman" w:hAnsiTheme="minorHAnsi" w:cstheme="minorHAnsi"/>
          <w:b/>
          <w:sz w:val="12"/>
          <w:szCs w:val="12"/>
          <w:lang w:eastAsia="cs-CZ"/>
        </w:rPr>
        <w:t>č</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170/2011</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Sb.</w:t>
      </w:r>
      <w:r>
        <w:rPr>
          <w:rFonts w:asciiTheme="minorHAnsi" w:eastAsia="Times New Roman" w:hAnsiTheme="minorHAnsi" w:cstheme="minorHAnsi"/>
          <w:sz w:val="12"/>
          <w:szCs w:val="12"/>
          <w:lang w:eastAsia="cs-CZ"/>
        </w:rPr>
        <w:t xml:space="preserve"> a </w:t>
      </w:r>
      <w:r>
        <w:rPr>
          <w:rFonts w:asciiTheme="minorHAnsi" w:eastAsia="Times New Roman" w:hAnsiTheme="minorHAnsi" w:cstheme="minorHAnsi"/>
          <w:b/>
          <w:sz w:val="12"/>
          <w:szCs w:val="12"/>
          <w:lang w:eastAsia="cs-CZ"/>
        </w:rPr>
        <w:t>229/2012</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Sb.</w:t>
      </w:r>
      <w:r>
        <w:rPr>
          <w:rFonts w:asciiTheme="minorHAnsi" w:eastAsia="Times New Roman" w:hAnsiTheme="minorHAnsi" w:cstheme="minorHAnsi"/>
          <w:sz w:val="12"/>
          <w:szCs w:val="12"/>
          <w:lang w:eastAsia="cs-CZ"/>
        </w:rPr>
        <w:t xml:space="preserve">, které je ekvivalentní </w:t>
      </w:r>
      <w:r w:rsidR="00693219">
        <w:rPr>
          <w:rFonts w:asciiTheme="minorHAnsi" w:eastAsia="Times New Roman" w:hAnsiTheme="minorHAnsi" w:cstheme="minorHAnsi"/>
          <w:sz w:val="12"/>
          <w:szCs w:val="12"/>
          <w:lang w:eastAsia="cs-CZ"/>
        </w:rPr>
        <w:t xml:space="preserve">k </w:t>
      </w:r>
      <w:r>
        <w:rPr>
          <w:rFonts w:asciiTheme="minorHAnsi" w:eastAsia="Times New Roman" w:hAnsiTheme="minorHAnsi" w:cstheme="minorHAnsi"/>
          <w:sz w:val="12"/>
          <w:szCs w:val="12"/>
          <w:lang w:eastAsia="cs-CZ"/>
        </w:rPr>
        <w:t>směrnici rady</w:t>
      </w:r>
      <w:r w:rsidR="002D2C9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č.</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2006/42/ES</w:t>
      </w:r>
      <w:r>
        <w:rPr>
          <w:rFonts w:asciiTheme="minorHAnsi" w:eastAsia="Times New Roman" w:hAnsiTheme="minorHAnsi" w:cstheme="minorHAnsi"/>
          <w:sz w:val="12"/>
          <w:szCs w:val="12"/>
          <w:lang w:eastAsia="cs-CZ"/>
        </w:rPr>
        <w:t xml:space="preserve"> ve znění směrnice rady </w:t>
      </w:r>
      <w:r>
        <w:rPr>
          <w:rFonts w:asciiTheme="minorHAnsi" w:eastAsia="Times New Roman" w:hAnsiTheme="minorHAnsi" w:cstheme="minorHAnsi"/>
          <w:b/>
          <w:sz w:val="12"/>
          <w:szCs w:val="12"/>
          <w:lang w:eastAsia="cs-CZ"/>
        </w:rPr>
        <w:t>2009/127/ES</w:t>
      </w:r>
      <w:r>
        <w:rPr>
          <w:rFonts w:asciiTheme="minorHAnsi" w:eastAsia="Times New Roman" w:hAnsiTheme="minorHAnsi" w:cstheme="minorHAnsi"/>
          <w:sz w:val="12"/>
          <w:szCs w:val="12"/>
          <w:lang w:eastAsia="cs-CZ"/>
        </w:rPr>
        <w:t xml:space="preserve"> a </w:t>
      </w:r>
      <w:r>
        <w:rPr>
          <w:rFonts w:asciiTheme="minorHAnsi" w:eastAsia="Times New Roman" w:hAnsiTheme="minorHAnsi" w:cstheme="minorHAnsi"/>
          <w:b/>
          <w:sz w:val="12"/>
          <w:szCs w:val="12"/>
          <w:lang w:eastAsia="cs-CZ"/>
        </w:rPr>
        <w:t>2012/32/EU</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ČSN EN ISO 12100</w:t>
      </w:r>
      <w:r>
        <w:rPr>
          <w:rFonts w:eastAsia="Times New Roman" w:cstheme="minorHAnsi"/>
          <w:b/>
          <w:sz w:val="12"/>
          <w:szCs w:val="12"/>
          <w:lang w:eastAsia="cs-CZ"/>
        </w:rPr>
        <w:t>,</w:t>
      </w:r>
      <w:r>
        <w:rPr>
          <w:rFonts w:asciiTheme="minorHAnsi" w:eastAsia="Times New Roman" w:hAnsiTheme="minorHAnsi" w:cstheme="minorHAnsi"/>
          <w:b/>
          <w:sz w:val="12"/>
          <w:szCs w:val="12"/>
          <w:lang w:eastAsia="cs-CZ"/>
        </w:rPr>
        <w:t xml:space="preserve"> ČSN EN 60204-1 ed. 2</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ČSN EN 61000-6-4 ed. 2</w:t>
      </w:r>
      <w:r>
        <w:rPr>
          <w:rFonts w:eastAsia="Times New Roman" w:cstheme="minorHAnsi"/>
          <w:sz w:val="12"/>
          <w:szCs w:val="12"/>
          <w:lang w:eastAsia="cs-CZ"/>
        </w:rPr>
        <w:t>,</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ČSN EN 55011 ed. 3</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ČSN EN ISO 13849-1</w:t>
      </w:r>
      <w:r>
        <w:rPr>
          <w:rFonts w:asciiTheme="minorHAnsi" w:eastAsia="Times New Roman" w:hAnsiTheme="minorHAnsi" w:cstheme="minorHAnsi"/>
          <w:sz w:val="12"/>
          <w:szCs w:val="12"/>
          <w:lang w:eastAsia="cs-CZ"/>
        </w:rPr>
        <w:t>.</w:t>
      </w:r>
      <w:r>
        <w:rPr>
          <w:rFonts w:eastAsia="Times New Roman" w:cstheme="minorHAnsi"/>
          <w:sz w:val="12"/>
          <w:szCs w:val="12"/>
          <w:lang w:eastAsia="cs-CZ"/>
        </w:rPr>
        <w:t xml:space="preserve"> </w:t>
      </w:r>
      <w:r>
        <w:rPr>
          <w:rFonts w:asciiTheme="minorHAnsi" w:eastAsia="Times New Roman" w:hAnsiTheme="minorHAnsi" w:cstheme="minorHAnsi"/>
          <w:sz w:val="12"/>
          <w:szCs w:val="12"/>
          <w:lang w:eastAsia="cs-CZ"/>
        </w:rPr>
        <w:t xml:space="preserve"> Zařízení splňuje požadavky zákona o odpadech </w:t>
      </w:r>
      <w:r w:rsidRPr="002E6F85">
        <w:rPr>
          <w:rFonts w:asciiTheme="minorHAnsi" w:eastAsia="Times New Roman" w:hAnsiTheme="minorHAnsi" w:cstheme="minorHAnsi"/>
          <w:b/>
          <w:sz w:val="12"/>
          <w:szCs w:val="12"/>
          <w:lang w:eastAsia="cs-CZ"/>
        </w:rPr>
        <w:t>č</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185/2001 Sb</w:t>
      </w:r>
      <w:r>
        <w:rPr>
          <w:rFonts w:asciiTheme="minorHAnsi" w:eastAsia="Times New Roman" w:hAnsiTheme="minorHAnsi" w:cstheme="minorHAnsi"/>
          <w:sz w:val="12"/>
          <w:szCs w:val="12"/>
          <w:lang w:eastAsia="cs-CZ"/>
        </w:rPr>
        <w:t xml:space="preserve">., dále požadavky na jakost </w:t>
      </w:r>
      <w:proofErr w:type="gramStart"/>
      <w:r>
        <w:rPr>
          <w:rFonts w:asciiTheme="minorHAnsi" w:eastAsia="Times New Roman" w:hAnsiTheme="minorHAnsi" w:cstheme="minorHAnsi"/>
          <w:sz w:val="12"/>
          <w:szCs w:val="12"/>
          <w:lang w:eastAsia="cs-CZ"/>
        </w:rPr>
        <w:t>pitné</w:t>
      </w:r>
      <w:r w:rsidR="002E6F85">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vody</w:t>
      </w:r>
      <w:proofErr w:type="gramEnd"/>
      <w:r>
        <w:rPr>
          <w:rFonts w:asciiTheme="minorHAnsi" w:eastAsia="Times New Roman" w:hAnsiTheme="minorHAnsi" w:cstheme="minorHAnsi"/>
          <w:sz w:val="12"/>
          <w:szCs w:val="12"/>
          <w:lang w:eastAsia="cs-CZ"/>
        </w:rPr>
        <w:t>,  které jsou stanoveny vyhláškou, kterou se stanoví hygienické požadavky na pitnou a</w:t>
      </w:r>
      <w:r w:rsidR="002D2C9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teplou vodu </w:t>
      </w:r>
      <w:r w:rsidR="002D2C9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a četnost a rozsah kontroly pitné vody</w:t>
      </w:r>
      <w:r w:rsidR="002E6F85">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č. 252/2004 Sb</w:t>
      </w:r>
      <w:r>
        <w:rPr>
          <w:rFonts w:asciiTheme="minorHAnsi" w:eastAsia="Times New Roman" w:hAnsiTheme="minorHAnsi" w:cstheme="minorHAnsi"/>
          <w:sz w:val="12"/>
          <w:szCs w:val="12"/>
          <w:lang w:eastAsia="cs-CZ"/>
        </w:rPr>
        <w:t>., dále vyhláškou o hygienických požadavcích na výrobky přicházející do přímého styku s vodou a na úpravu vody</w:t>
      </w:r>
      <w:r w:rsidR="002E6F85">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č. 409/2005 Sb</w:t>
      </w:r>
      <w:r>
        <w:rPr>
          <w:rFonts w:asciiTheme="minorHAnsi" w:eastAsia="Times New Roman" w:hAnsiTheme="minorHAnsi" w:cstheme="minorHAnsi"/>
          <w:sz w:val="12"/>
          <w:szCs w:val="12"/>
          <w:lang w:eastAsia="cs-CZ"/>
        </w:rPr>
        <w:t>.</w:t>
      </w:r>
      <w:r>
        <w:rPr>
          <w:rFonts w:eastAsia="Times New Roman" w:cstheme="minorHAnsi"/>
          <w:sz w:val="12"/>
          <w:szCs w:val="12"/>
          <w:lang w:eastAsia="cs-CZ"/>
        </w:rPr>
        <w:t xml:space="preserve"> </w:t>
      </w:r>
      <w:r w:rsidRPr="00693219">
        <w:rPr>
          <w:rFonts w:asciiTheme="minorHAnsi" w:eastAsia="Times New Roman" w:hAnsiTheme="minorHAnsi" w:cstheme="minorHAnsi"/>
          <w:sz w:val="12"/>
          <w:szCs w:val="12"/>
          <w:lang w:eastAsia="cs-CZ"/>
        </w:rPr>
        <w:t>a jejich následných novelizací.</w:t>
      </w:r>
      <w:r>
        <w:rPr>
          <w:rFonts w:eastAsia="Times New Roman" w:cstheme="minorHAnsi"/>
          <w:sz w:val="12"/>
          <w:szCs w:val="12"/>
          <w:lang w:eastAsia="cs-CZ"/>
        </w:rPr>
        <w:t xml:space="preserve"> </w:t>
      </w:r>
      <w:r>
        <w:rPr>
          <w:rFonts w:asciiTheme="minorHAnsi" w:eastAsia="Times New Roman" w:hAnsiTheme="minorHAnsi" w:cstheme="minorHAnsi"/>
          <w:sz w:val="12"/>
          <w:szCs w:val="12"/>
          <w:lang w:eastAsia="cs-CZ"/>
        </w:rPr>
        <w:t xml:space="preserve">Zařízení je vyrobené v </w:t>
      </w:r>
      <w:proofErr w:type="gramStart"/>
      <w:r>
        <w:rPr>
          <w:rFonts w:asciiTheme="minorHAnsi" w:eastAsia="Times New Roman" w:hAnsiTheme="minorHAnsi" w:cstheme="minorHAnsi"/>
          <w:sz w:val="12"/>
          <w:szCs w:val="12"/>
          <w:lang w:eastAsia="cs-CZ"/>
        </w:rPr>
        <w:t>souladu s</w:t>
      </w:r>
      <w:r w:rsidR="002D2C9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ČSN</w:t>
      </w:r>
      <w:proofErr w:type="gramEnd"/>
      <w:r>
        <w:rPr>
          <w:rFonts w:asciiTheme="minorHAnsi" w:eastAsia="Times New Roman" w:hAnsiTheme="minorHAnsi" w:cstheme="minorHAnsi"/>
          <w:b/>
          <w:sz w:val="12"/>
          <w:szCs w:val="12"/>
          <w:lang w:eastAsia="cs-CZ"/>
        </w:rPr>
        <w:t xml:space="preserve"> 75 7111</w:t>
      </w:r>
      <w:r>
        <w:rPr>
          <w:rFonts w:asciiTheme="minorHAnsi" w:eastAsia="Times New Roman" w:hAnsiTheme="minorHAnsi" w:cstheme="minorHAnsi"/>
          <w:sz w:val="12"/>
          <w:szCs w:val="12"/>
          <w:lang w:eastAsia="cs-CZ"/>
        </w:rPr>
        <w:t xml:space="preserve"> - Pitná voda, dále dle novely zákona o potravinách, zákon</w:t>
      </w:r>
      <w:r w:rsidR="002D2C9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č. 306/2000 Sb</w:t>
      </w:r>
      <w:r>
        <w:rPr>
          <w:rFonts w:asciiTheme="minorHAnsi" w:eastAsia="Times New Roman" w:hAnsiTheme="minorHAnsi" w:cstheme="minorHAnsi"/>
          <w:sz w:val="12"/>
          <w:szCs w:val="12"/>
          <w:lang w:eastAsia="cs-CZ"/>
        </w:rPr>
        <w:t xml:space="preserve">. a vyhláškou </w:t>
      </w:r>
      <w:r>
        <w:rPr>
          <w:rFonts w:asciiTheme="minorHAnsi" w:eastAsia="Times New Roman" w:hAnsiTheme="minorHAnsi" w:cstheme="minorHAnsi"/>
          <w:b/>
          <w:sz w:val="12"/>
          <w:szCs w:val="12"/>
          <w:lang w:eastAsia="cs-CZ"/>
        </w:rPr>
        <w:t>MZ č. 376/2000 Sb</w:t>
      </w:r>
      <w:r>
        <w:rPr>
          <w:rFonts w:asciiTheme="minorHAnsi" w:eastAsia="Times New Roman" w:hAnsiTheme="minorHAnsi" w:cstheme="minorHAnsi"/>
          <w:sz w:val="12"/>
          <w:szCs w:val="12"/>
          <w:lang w:eastAsia="cs-CZ"/>
        </w:rPr>
        <w:t xml:space="preserve">. Při výrobě filtrační </w:t>
      </w:r>
      <w:proofErr w:type="gramStart"/>
      <w:r>
        <w:rPr>
          <w:rFonts w:asciiTheme="minorHAnsi" w:eastAsia="Times New Roman" w:hAnsiTheme="minorHAnsi" w:cstheme="minorHAnsi"/>
          <w:sz w:val="12"/>
          <w:szCs w:val="12"/>
          <w:lang w:eastAsia="cs-CZ"/>
        </w:rPr>
        <w:t>technologie</w:t>
      </w:r>
      <w:r w:rsidR="002D2C9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jsou</w:t>
      </w:r>
      <w:proofErr w:type="gramEnd"/>
      <w:r>
        <w:rPr>
          <w:rFonts w:asciiTheme="minorHAnsi" w:eastAsia="Times New Roman" w:hAnsiTheme="minorHAnsi" w:cstheme="minorHAnsi"/>
          <w:sz w:val="12"/>
          <w:szCs w:val="12"/>
          <w:lang w:eastAsia="cs-CZ"/>
        </w:rPr>
        <w:t xml:space="preserve"> použité i přísnější požadavky, které jsou kladeny na</w:t>
      </w:r>
      <w:r w:rsidR="002D2C9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vodu stolní (tzv. balenou) a na tzv. vodu kojeneckou. Požadavky jsou dané </w:t>
      </w:r>
      <w:proofErr w:type="gramStart"/>
      <w:r>
        <w:rPr>
          <w:rFonts w:asciiTheme="minorHAnsi" w:eastAsia="Times New Roman" w:hAnsiTheme="minorHAnsi" w:cstheme="minorHAnsi"/>
          <w:sz w:val="12"/>
          <w:szCs w:val="12"/>
          <w:lang w:eastAsia="cs-CZ"/>
        </w:rPr>
        <w:t>vyhláškou</w:t>
      </w:r>
      <w:r w:rsidR="00B9083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č.</w:t>
      </w:r>
      <w:proofErr w:type="gramEnd"/>
      <w:r>
        <w:rPr>
          <w:rFonts w:asciiTheme="minorHAnsi" w:eastAsia="Times New Roman" w:hAnsiTheme="minorHAnsi" w:cstheme="minorHAnsi"/>
          <w:b/>
          <w:sz w:val="12"/>
          <w:szCs w:val="12"/>
          <w:lang w:eastAsia="cs-CZ"/>
        </w:rPr>
        <w:t xml:space="preserve"> 275/2004 Sb</w:t>
      </w:r>
      <w:r>
        <w:rPr>
          <w:rFonts w:asciiTheme="minorHAnsi" w:eastAsia="Times New Roman" w:hAnsiTheme="minorHAnsi" w:cstheme="minorHAnsi"/>
          <w:sz w:val="12"/>
          <w:szCs w:val="12"/>
          <w:lang w:eastAsia="cs-CZ"/>
        </w:rPr>
        <w:t xml:space="preserve">. o požadavcích na </w:t>
      </w:r>
      <w:r w:rsidR="00B9083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jakost a zdravotní nezávadnost</w:t>
      </w:r>
      <w:r w:rsidR="00B9083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balených vod a o způsobu jejich úpravy. </w:t>
      </w:r>
      <w:proofErr w:type="gramStart"/>
      <w:r>
        <w:rPr>
          <w:rFonts w:asciiTheme="minorHAnsi" w:eastAsia="Times New Roman" w:hAnsiTheme="minorHAnsi" w:cstheme="minorHAnsi"/>
          <w:sz w:val="12"/>
          <w:szCs w:val="12"/>
          <w:lang w:eastAsia="cs-CZ"/>
        </w:rPr>
        <w:t>Zahrnují</w:t>
      </w:r>
      <w:r w:rsidR="00B9083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10</w:t>
      </w:r>
      <w:proofErr w:type="gramEnd"/>
      <w:r>
        <w:rPr>
          <w:rFonts w:asciiTheme="minorHAnsi" w:eastAsia="Times New Roman" w:hAnsiTheme="minorHAnsi" w:cstheme="minorHAnsi"/>
          <w:sz w:val="12"/>
          <w:szCs w:val="12"/>
          <w:lang w:eastAsia="cs-CZ"/>
        </w:rPr>
        <w:t xml:space="preserve"> ukazatelů a jejich hygienických limitů mikrobiologických a biologických a 52 ukazatelů a jejich hygienických limitů</w:t>
      </w:r>
      <w:r w:rsidR="00B9083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fyzikálních, chemických a organoleptických. U výstupního </w:t>
      </w:r>
      <w:r w:rsidR="00B9083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permeátu je postupováno </w:t>
      </w:r>
      <w:r w:rsidR="00B9083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v souladu a se zásadou </w:t>
      </w:r>
      <w:r w:rsidR="00B9083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na dodržení organoleptických vlastností vody,  které jsou zjistitelné smysly člověka, </w:t>
      </w:r>
      <w:r w:rsidR="00B9083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jako např. Teplota</w:t>
      </w:r>
      <w:r>
        <w:rPr>
          <w:rFonts w:eastAsia="Times New Roman" w:cstheme="minorHAnsi"/>
          <w:sz w:val="12"/>
          <w:szCs w:val="12"/>
          <w:lang w:eastAsia="cs-CZ"/>
        </w:rPr>
        <w:t>,</w:t>
      </w:r>
      <w:r>
        <w:rPr>
          <w:rFonts w:asciiTheme="minorHAnsi" w:eastAsia="Times New Roman" w:hAnsiTheme="minorHAnsi" w:cstheme="minorHAnsi"/>
          <w:sz w:val="12"/>
          <w:szCs w:val="12"/>
          <w:lang w:eastAsia="cs-CZ"/>
        </w:rPr>
        <w:t xml:space="preserve"> Barva, Zákal, Průhlednost</w:t>
      </w:r>
      <w:r>
        <w:rPr>
          <w:rFonts w:eastAsia="Times New Roman" w:cstheme="minorHAnsi"/>
          <w:sz w:val="12"/>
          <w:szCs w:val="12"/>
          <w:lang w:eastAsia="cs-CZ"/>
        </w:rPr>
        <w:t>,</w:t>
      </w:r>
      <w:r>
        <w:rPr>
          <w:rFonts w:asciiTheme="minorHAnsi" w:eastAsia="Times New Roman" w:hAnsiTheme="minorHAnsi" w:cstheme="minorHAnsi"/>
          <w:sz w:val="12"/>
          <w:szCs w:val="12"/>
          <w:lang w:eastAsia="cs-CZ"/>
        </w:rPr>
        <w:t xml:space="preserve"> Pach</w:t>
      </w:r>
      <w:r>
        <w:rPr>
          <w:rFonts w:eastAsia="Times New Roman" w:cstheme="minorHAnsi"/>
          <w:sz w:val="12"/>
          <w:szCs w:val="12"/>
          <w:lang w:eastAsia="cs-CZ"/>
        </w:rPr>
        <w:t>,</w:t>
      </w:r>
      <w:r>
        <w:rPr>
          <w:rFonts w:asciiTheme="minorHAnsi" w:eastAsia="Times New Roman" w:hAnsiTheme="minorHAnsi" w:cstheme="minorHAnsi"/>
          <w:sz w:val="12"/>
          <w:szCs w:val="12"/>
          <w:lang w:eastAsia="cs-CZ"/>
        </w:rPr>
        <w:t xml:space="preserve"> </w:t>
      </w:r>
      <w:proofErr w:type="gramStart"/>
      <w:r>
        <w:rPr>
          <w:rFonts w:asciiTheme="minorHAnsi" w:eastAsia="Times New Roman" w:hAnsiTheme="minorHAnsi" w:cstheme="minorHAnsi"/>
          <w:sz w:val="12"/>
          <w:szCs w:val="12"/>
          <w:lang w:eastAsia="cs-CZ"/>
        </w:rPr>
        <w:t>Chuť.</w:t>
      </w:r>
      <w:r w:rsidR="00D204D8">
        <w:rPr>
          <w:rFonts w:asciiTheme="minorHAnsi" w:eastAsia="Times New Roman" w:hAnsiTheme="minorHAnsi" w:cstheme="minorHAnsi"/>
          <w:sz w:val="12"/>
          <w:szCs w:val="12"/>
          <w:lang w:eastAsia="cs-CZ"/>
        </w:rPr>
        <w:t>..</w:t>
      </w:r>
      <w:proofErr w:type="gramEnd"/>
      <w:r>
        <w:rPr>
          <w:rFonts w:asciiTheme="minorHAnsi" w:eastAsia="Times New Roman" w:hAnsiTheme="minorHAnsi" w:cstheme="minorHAnsi"/>
          <w:sz w:val="12"/>
          <w:szCs w:val="12"/>
          <w:lang w:eastAsia="cs-CZ"/>
        </w:rPr>
        <w:t xml:space="preserve">  </w:t>
      </w:r>
      <w:proofErr w:type="gramStart"/>
      <w:r>
        <w:rPr>
          <w:rFonts w:asciiTheme="minorHAnsi" w:eastAsia="Times New Roman" w:hAnsiTheme="minorHAnsi" w:cstheme="minorHAnsi"/>
          <w:sz w:val="12"/>
          <w:szCs w:val="12"/>
          <w:lang w:eastAsia="cs-CZ"/>
        </w:rPr>
        <w:t>Základním  prvkem</w:t>
      </w:r>
      <w:proofErr w:type="gramEnd"/>
      <w:r>
        <w:rPr>
          <w:rFonts w:asciiTheme="minorHAnsi" w:eastAsia="Times New Roman" w:hAnsiTheme="minorHAnsi" w:cstheme="minorHAnsi"/>
          <w:sz w:val="12"/>
          <w:szCs w:val="12"/>
          <w:lang w:eastAsia="cs-CZ"/>
        </w:rPr>
        <w:t xml:space="preserve"> regulace obsahu látek v akvatickém prostředí v EU jsou zejména Rámcová vodní směrnice </w:t>
      </w:r>
      <w:r>
        <w:rPr>
          <w:rFonts w:asciiTheme="minorHAnsi" w:eastAsia="Times New Roman" w:hAnsiTheme="minorHAnsi" w:cstheme="minorHAnsi"/>
          <w:b/>
          <w:sz w:val="12"/>
          <w:szCs w:val="12"/>
          <w:lang w:eastAsia="cs-CZ"/>
        </w:rPr>
        <w:t>2000/60/ES</w:t>
      </w:r>
      <w:r>
        <w:rPr>
          <w:rFonts w:asciiTheme="minorHAnsi" w:eastAsia="Times New Roman" w:hAnsiTheme="minorHAnsi" w:cstheme="minorHAnsi"/>
          <w:sz w:val="12"/>
          <w:szCs w:val="12"/>
          <w:lang w:eastAsia="cs-CZ"/>
        </w:rPr>
        <w:t xml:space="preserve">, Směrnice o ochraně podzemních vod </w:t>
      </w:r>
      <w:r>
        <w:rPr>
          <w:rFonts w:asciiTheme="minorHAnsi" w:eastAsia="Times New Roman" w:hAnsiTheme="minorHAnsi" w:cstheme="minorHAnsi"/>
          <w:b/>
          <w:sz w:val="12"/>
          <w:szCs w:val="12"/>
          <w:lang w:eastAsia="cs-CZ"/>
        </w:rPr>
        <w:t>2006/118/ES</w:t>
      </w:r>
      <w:r>
        <w:rPr>
          <w:rFonts w:asciiTheme="minorHAnsi" w:eastAsia="Times New Roman" w:hAnsiTheme="minorHAnsi" w:cstheme="minorHAnsi"/>
          <w:sz w:val="12"/>
          <w:szCs w:val="12"/>
          <w:lang w:eastAsia="cs-CZ"/>
        </w:rPr>
        <w:t>. Směrnice o prioritních látkách</w:t>
      </w:r>
      <w:r w:rsidR="00B9083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2008/105/ES</w:t>
      </w:r>
      <w:r>
        <w:rPr>
          <w:rFonts w:asciiTheme="minorHAnsi" w:eastAsia="Times New Roman" w:hAnsiTheme="minorHAnsi" w:cstheme="minorHAnsi"/>
          <w:sz w:val="12"/>
          <w:szCs w:val="12"/>
          <w:lang w:eastAsia="cs-CZ"/>
        </w:rPr>
        <w:t xml:space="preserve">, Směrnice o pitných vodách </w:t>
      </w:r>
      <w:r w:rsidR="00B9083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98/83/ES</w:t>
      </w:r>
      <w:r>
        <w:rPr>
          <w:rFonts w:asciiTheme="minorHAnsi" w:eastAsia="Times New Roman" w:hAnsiTheme="minorHAnsi" w:cstheme="minorHAnsi"/>
          <w:sz w:val="12"/>
          <w:szCs w:val="12"/>
          <w:lang w:eastAsia="cs-CZ"/>
        </w:rPr>
        <w:t xml:space="preserve"> nebo Směrnice o čištění komunálních odpadních vod</w:t>
      </w:r>
      <w:r w:rsidR="00B9083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271/91/EHS</w:t>
      </w:r>
      <w:r>
        <w:rPr>
          <w:rFonts w:asciiTheme="minorHAnsi" w:eastAsia="Times New Roman" w:hAnsiTheme="minorHAnsi" w:cstheme="minorHAnsi"/>
          <w:sz w:val="12"/>
          <w:szCs w:val="12"/>
          <w:lang w:eastAsia="cs-CZ"/>
        </w:rPr>
        <w:t xml:space="preserve">. Stranou není možné nechat ani Směrnici o integrované prevenci znečištění </w:t>
      </w:r>
      <w:r>
        <w:rPr>
          <w:rFonts w:asciiTheme="minorHAnsi" w:eastAsia="Times New Roman" w:hAnsiTheme="minorHAnsi" w:cstheme="minorHAnsi"/>
          <w:b/>
          <w:sz w:val="12"/>
          <w:szCs w:val="12"/>
          <w:lang w:eastAsia="cs-CZ"/>
        </w:rPr>
        <w:t>96/61/ES</w:t>
      </w:r>
      <w:r>
        <w:rPr>
          <w:rFonts w:asciiTheme="minorHAnsi" w:eastAsia="Times New Roman" w:hAnsiTheme="minorHAnsi" w:cstheme="minorHAnsi"/>
          <w:sz w:val="12"/>
          <w:szCs w:val="12"/>
          <w:lang w:eastAsia="cs-CZ"/>
        </w:rPr>
        <w:t xml:space="preserve">, nařízení </w:t>
      </w:r>
      <w:r>
        <w:rPr>
          <w:rFonts w:asciiTheme="minorHAnsi" w:eastAsia="Times New Roman" w:hAnsiTheme="minorHAnsi" w:cstheme="minorHAnsi"/>
          <w:b/>
          <w:sz w:val="12"/>
          <w:szCs w:val="12"/>
          <w:lang w:eastAsia="cs-CZ"/>
        </w:rPr>
        <w:t>REACH 1907/2006/ES</w:t>
      </w:r>
      <w:r>
        <w:rPr>
          <w:rFonts w:asciiTheme="minorHAnsi" w:eastAsia="Times New Roman" w:hAnsiTheme="minorHAnsi" w:cstheme="minorHAnsi"/>
          <w:sz w:val="12"/>
          <w:szCs w:val="12"/>
          <w:lang w:eastAsia="cs-CZ"/>
        </w:rPr>
        <w:t xml:space="preserve">, nařízení </w:t>
      </w:r>
      <w:r>
        <w:rPr>
          <w:rFonts w:asciiTheme="minorHAnsi" w:eastAsia="Times New Roman" w:hAnsiTheme="minorHAnsi" w:cstheme="minorHAnsi"/>
          <w:b/>
          <w:sz w:val="12"/>
          <w:szCs w:val="12"/>
          <w:lang w:eastAsia="cs-CZ"/>
        </w:rPr>
        <w:t>1107/2009/ES,</w:t>
      </w:r>
      <w:r>
        <w:rPr>
          <w:rFonts w:asciiTheme="minorHAnsi" w:eastAsia="Times New Roman" w:hAnsiTheme="minorHAnsi" w:cstheme="minorHAnsi"/>
          <w:sz w:val="12"/>
          <w:szCs w:val="12"/>
          <w:lang w:eastAsia="cs-CZ"/>
        </w:rPr>
        <w:t xml:space="preserve"> Směrnici </w:t>
      </w:r>
      <w:r>
        <w:rPr>
          <w:rFonts w:asciiTheme="minorHAnsi" w:eastAsia="Times New Roman" w:hAnsiTheme="minorHAnsi" w:cstheme="minorHAnsi"/>
          <w:b/>
          <w:sz w:val="12"/>
          <w:szCs w:val="12"/>
          <w:lang w:eastAsia="cs-CZ"/>
        </w:rPr>
        <w:t>2009/128/ES,</w:t>
      </w:r>
      <w:r>
        <w:rPr>
          <w:rFonts w:asciiTheme="minorHAnsi" w:eastAsia="Times New Roman" w:hAnsiTheme="minorHAnsi" w:cstheme="minorHAnsi"/>
          <w:sz w:val="12"/>
          <w:szCs w:val="12"/>
          <w:lang w:eastAsia="cs-CZ"/>
        </w:rPr>
        <w:t xml:space="preserve"> Směrnici </w:t>
      </w:r>
      <w:r>
        <w:rPr>
          <w:rFonts w:asciiTheme="minorHAnsi" w:eastAsia="Times New Roman" w:hAnsiTheme="minorHAnsi" w:cstheme="minorHAnsi"/>
          <w:b/>
          <w:sz w:val="12"/>
          <w:szCs w:val="12"/>
          <w:lang w:eastAsia="cs-CZ"/>
        </w:rPr>
        <w:t>2009/127/ES</w:t>
      </w:r>
      <w:r>
        <w:rPr>
          <w:rFonts w:asciiTheme="minorHAnsi" w:eastAsia="Times New Roman" w:hAnsiTheme="minorHAnsi" w:cstheme="minorHAnsi"/>
          <w:sz w:val="12"/>
          <w:szCs w:val="12"/>
          <w:lang w:eastAsia="cs-CZ"/>
        </w:rPr>
        <w:t xml:space="preserve"> či Nařízení </w:t>
      </w:r>
      <w:r>
        <w:rPr>
          <w:rFonts w:asciiTheme="minorHAnsi" w:eastAsia="Times New Roman" w:hAnsiTheme="minorHAnsi" w:cstheme="minorHAnsi"/>
          <w:b/>
          <w:sz w:val="12"/>
          <w:szCs w:val="12"/>
          <w:lang w:eastAsia="cs-CZ"/>
        </w:rPr>
        <w:t>1185/2009/ES</w:t>
      </w:r>
      <w:r>
        <w:rPr>
          <w:rFonts w:asciiTheme="minorHAnsi" w:eastAsia="Times New Roman" w:hAnsiTheme="minorHAnsi" w:cstheme="minorHAnsi"/>
          <w:sz w:val="12"/>
          <w:szCs w:val="12"/>
          <w:lang w:eastAsia="cs-CZ"/>
        </w:rPr>
        <w:t>. Veškeré komponenty mají od dodavatelů potravinářský certifikát</w:t>
      </w:r>
      <w:r w:rsidR="00D204D8">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 xml:space="preserve">NSF/ANSI </w:t>
      </w:r>
      <w:r w:rsidR="00B90837">
        <w:rPr>
          <w:rFonts w:asciiTheme="minorHAnsi" w:eastAsia="Times New Roman" w:hAnsiTheme="minorHAnsi" w:cstheme="minorHAnsi"/>
          <w:b/>
          <w:sz w:val="12"/>
          <w:szCs w:val="12"/>
          <w:lang w:eastAsia="cs-CZ"/>
        </w:rPr>
        <w:t xml:space="preserve"> </w:t>
      </w:r>
      <w:r>
        <w:rPr>
          <w:rFonts w:asciiTheme="minorHAnsi" w:eastAsia="Times New Roman" w:hAnsiTheme="minorHAnsi" w:cstheme="minorHAnsi"/>
          <w:b/>
          <w:sz w:val="12"/>
          <w:szCs w:val="12"/>
          <w:lang w:eastAsia="cs-CZ"/>
        </w:rPr>
        <w:t>STANDARD 51. 58. 61, CE/PED</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WRAS, ACS, ISO:9001, Gost</w:t>
      </w:r>
      <w:r>
        <w:rPr>
          <w:rFonts w:asciiTheme="minorHAnsi" w:eastAsia="Times New Roman" w:hAnsiTheme="minorHAnsi" w:cstheme="minorHAnsi"/>
          <w:sz w:val="12"/>
          <w:szCs w:val="12"/>
          <w:lang w:eastAsia="cs-CZ"/>
        </w:rPr>
        <w:t xml:space="preserve"> a povolení </w:t>
      </w:r>
      <w:r>
        <w:rPr>
          <w:rFonts w:asciiTheme="minorHAnsi" w:eastAsia="Times New Roman" w:hAnsiTheme="minorHAnsi" w:cstheme="minorHAnsi"/>
          <w:b/>
          <w:sz w:val="12"/>
          <w:szCs w:val="12"/>
          <w:lang w:eastAsia="cs-CZ"/>
        </w:rPr>
        <w:t>Evrazes - EurAsEC</w:t>
      </w:r>
      <w:r>
        <w:rPr>
          <w:rFonts w:asciiTheme="minorHAnsi" w:eastAsia="Times New Roman" w:hAnsiTheme="minorHAnsi" w:cstheme="minorHAnsi"/>
          <w:sz w:val="12"/>
          <w:szCs w:val="12"/>
          <w:lang w:eastAsia="cs-CZ"/>
        </w:rPr>
        <w:t xml:space="preserve"> a jsou vyrobeny z materiálů dle </w:t>
      </w:r>
      <w:r>
        <w:rPr>
          <w:rFonts w:asciiTheme="minorHAnsi" w:eastAsia="Times New Roman" w:hAnsiTheme="minorHAnsi" w:cstheme="minorHAnsi"/>
          <w:b/>
          <w:sz w:val="12"/>
          <w:szCs w:val="12"/>
          <w:lang w:eastAsia="cs-CZ"/>
        </w:rPr>
        <w:t>AISI 303/304 (V2A), 1.4401, 1.4404, 1.4521</w:t>
      </w:r>
      <w:r>
        <w:rPr>
          <w:rFonts w:asciiTheme="minorHAnsi" w:eastAsia="Times New Roman" w:hAnsiTheme="minorHAnsi" w:cstheme="minorHAnsi"/>
          <w:sz w:val="12"/>
          <w:szCs w:val="12"/>
          <w:lang w:eastAsia="cs-CZ"/>
        </w:rPr>
        <w:t xml:space="preserve"> a nerezové oceli třídy </w:t>
      </w:r>
      <w:r>
        <w:rPr>
          <w:rFonts w:asciiTheme="minorHAnsi" w:eastAsia="Times New Roman" w:hAnsiTheme="minorHAnsi" w:cstheme="minorHAnsi"/>
          <w:b/>
          <w:sz w:val="12"/>
          <w:szCs w:val="12"/>
          <w:lang w:eastAsia="cs-CZ"/>
        </w:rPr>
        <w:t>SS316-L</w:t>
      </w:r>
      <w:r>
        <w:rPr>
          <w:rFonts w:asciiTheme="minorHAnsi" w:eastAsia="Times New Roman" w:hAnsiTheme="minorHAnsi" w:cstheme="minorHAnsi"/>
          <w:sz w:val="12"/>
          <w:szCs w:val="12"/>
          <w:lang w:eastAsia="cs-CZ"/>
        </w:rPr>
        <w:t xml:space="preserve">, které jsou preferované pro lékařství, farmaceutický a potravinářský průmysl a námořní aplikace. Komponenty </w:t>
      </w:r>
      <w:proofErr w:type="gramStart"/>
      <w:r>
        <w:rPr>
          <w:rFonts w:asciiTheme="minorHAnsi" w:eastAsia="Times New Roman" w:hAnsiTheme="minorHAnsi" w:cstheme="minorHAnsi"/>
          <w:sz w:val="12"/>
          <w:szCs w:val="12"/>
          <w:lang w:eastAsia="cs-CZ"/>
        </w:rPr>
        <w:t>jsou</w:t>
      </w:r>
      <w:r w:rsidR="00B9083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kooperačně</w:t>
      </w:r>
      <w:proofErr w:type="gramEnd"/>
      <w:r>
        <w:rPr>
          <w:rFonts w:asciiTheme="minorHAnsi" w:eastAsia="Times New Roman" w:hAnsiTheme="minorHAnsi" w:cstheme="minorHAnsi"/>
          <w:sz w:val="12"/>
          <w:szCs w:val="12"/>
          <w:lang w:eastAsia="cs-CZ"/>
        </w:rPr>
        <w:t xml:space="preserve"> </w:t>
      </w:r>
      <w:r w:rsidR="00B9083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vyrobeny dodavateli dle </w:t>
      </w:r>
      <w:r>
        <w:rPr>
          <w:rFonts w:asciiTheme="minorHAnsi" w:eastAsia="Times New Roman" w:hAnsiTheme="minorHAnsi" w:cstheme="minorHAnsi"/>
          <w:b/>
          <w:sz w:val="12"/>
          <w:szCs w:val="12"/>
          <w:lang w:eastAsia="cs-CZ"/>
        </w:rPr>
        <w:t>ISO</w:t>
      </w:r>
      <w:r>
        <w:rPr>
          <w:rFonts w:asciiTheme="minorHAnsi" w:eastAsia="Times New Roman" w:hAnsiTheme="minorHAnsi" w:cstheme="minorHAnsi"/>
          <w:sz w:val="12"/>
          <w:szCs w:val="12"/>
          <w:lang w:eastAsia="cs-CZ"/>
        </w:rPr>
        <w:t xml:space="preserve">, zařízení je vyrobené podle směrnice  </w:t>
      </w:r>
      <w:r>
        <w:rPr>
          <w:rFonts w:asciiTheme="minorHAnsi" w:eastAsia="Times New Roman" w:hAnsiTheme="minorHAnsi" w:cstheme="minorHAnsi"/>
          <w:b/>
          <w:sz w:val="12"/>
          <w:szCs w:val="12"/>
          <w:lang w:eastAsia="cs-CZ"/>
        </w:rPr>
        <w:t>RoHS,</w:t>
      </w:r>
      <w:r>
        <w:rPr>
          <w:rFonts w:asciiTheme="minorHAnsi" w:eastAsia="Times New Roman" w:hAnsiTheme="minorHAnsi" w:cstheme="minorHAnsi"/>
          <w:sz w:val="12"/>
          <w:szCs w:val="12"/>
          <w:lang w:eastAsia="cs-CZ"/>
        </w:rPr>
        <w:t xml:space="preserve"> zařízení akceptuje mezinárodní normu </w:t>
      </w:r>
      <w:r>
        <w:rPr>
          <w:rFonts w:asciiTheme="minorHAnsi" w:eastAsia="Times New Roman" w:hAnsiTheme="minorHAnsi" w:cstheme="minorHAnsi"/>
          <w:b/>
          <w:sz w:val="12"/>
          <w:szCs w:val="12"/>
          <w:lang w:eastAsia="cs-CZ"/>
        </w:rPr>
        <w:t>FCC</w:t>
      </w:r>
      <w:r>
        <w:rPr>
          <w:rFonts w:asciiTheme="minorHAnsi" w:eastAsia="Times New Roman" w:hAnsiTheme="minorHAnsi" w:cstheme="minorHAnsi"/>
          <w:sz w:val="12"/>
          <w:szCs w:val="12"/>
          <w:lang w:eastAsia="cs-CZ"/>
        </w:rPr>
        <w:t xml:space="preserve">, zařízení má vyhovující integrované prvky podléhající </w:t>
      </w:r>
      <w:r>
        <w:rPr>
          <w:rFonts w:asciiTheme="minorHAnsi" w:eastAsia="Times New Roman" w:hAnsiTheme="minorHAnsi" w:cstheme="minorHAnsi"/>
          <w:b/>
          <w:sz w:val="12"/>
          <w:szCs w:val="12"/>
          <w:lang w:eastAsia="cs-CZ"/>
        </w:rPr>
        <w:t>NSF</w:t>
      </w:r>
      <w:r>
        <w:rPr>
          <w:rFonts w:asciiTheme="minorHAnsi" w:eastAsia="Times New Roman" w:hAnsiTheme="minorHAnsi" w:cstheme="minorHAnsi"/>
          <w:sz w:val="12"/>
          <w:szCs w:val="12"/>
          <w:lang w:eastAsia="cs-CZ"/>
        </w:rPr>
        <w:t>, zařízení je vyrobeno s přihlédnutím k</w:t>
      </w:r>
      <w:r w:rsidR="00B90837">
        <w:rPr>
          <w:rFonts w:asciiTheme="minorHAnsi" w:eastAsia="Times New Roman" w:hAnsiTheme="minorHAnsi" w:cstheme="minorHAnsi"/>
          <w:sz w:val="12"/>
          <w:szCs w:val="12"/>
          <w:lang w:eastAsia="cs-CZ"/>
        </w:rPr>
        <w:t> </w:t>
      </w:r>
      <w:r>
        <w:rPr>
          <w:rFonts w:asciiTheme="minorHAnsi" w:eastAsia="Times New Roman" w:hAnsiTheme="minorHAnsi" w:cstheme="minorHAnsi"/>
          <w:sz w:val="12"/>
          <w:szCs w:val="12"/>
          <w:lang w:eastAsia="cs-CZ"/>
        </w:rPr>
        <w:t>předpisu</w:t>
      </w:r>
      <w:r w:rsidR="00B90837">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b/>
          <w:sz w:val="12"/>
          <w:szCs w:val="12"/>
          <w:lang w:eastAsia="cs-CZ"/>
        </w:rPr>
        <w:t xml:space="preserve">EEC/IEC </w:t>
      </w:r>
      <w:r w:rsidR="00B90837">
        <w:rPr>
          <w:rFonts w:asciiTheme="minorHAnsi" w:eastAsia="Times New Roman" w:hAnsiTheme="minorHAnsi" w:cstheme="minorHAnsi"/>
          <w:b/>
          <w:sz w:val="12"/>
          <w:szCs w:val="12"/>
          <w:lang w:eastAsia="cs-CZ"/>
        </w:rPr>
        <w:t>S</w:t>
      </w:r>
      <w:r>
        <w:rPr>
          <w:rFonts w:asciiTheme="minorHAnsi" w:eastAsia="Times New Roman" w:hAnsiTheme="minorHAnsi" w:cstheme="minorHAnsi"/>
          <w:b/>
          <w:sz w:val="12"/>
          <w:szCs w:val="12"/>
          <w:lang w:eastAsia="cs-CZ"/>
        </w:rPr>
        <w:t xml:space="preserve">tandards, EMI, EMC, RFI </w:t>
      </w:r>
      <w:r w:rsidR="00B90837">
        <w:rPr>
          <w:rFonts w:asciiTheme="minorHAnsi" w:eastAsia="Times New Roman" w:hAnsiTheme="minorHAnsi" w:cstheme="minorHAnsi"/>
          <w:b/>
          <w:sz w:val="12"/>
          <w:szCs w:val="12"/>
          <w:lang w:eastAsia="cs-CZ"/>
        </w:rPr>
        <w:t>S</w:t>
      </w:r>
      <w:r>
        <w:rPr>
          <w:rFonts w:asciiTheme="minorHAnsi" w:eastAsia="Times New Roman" w:hAnsiTheme="minorHAnsi" w:cstheme="minorHAnsi"/>
          <w:b/>
          <w:sz w:val="12"/>
          <w:szCs w:val="12"/>
          <w:lang w:eastAsia="cs-CZ"/>
        </w:rPr>
        <w:t>tandards</w:t>
      </w:r>
      <w:r>
        <w:rPr>
          <w:rFonts w:asciiTheme="minorHAnsi" w:eastAsia="Times New Roman" w:hAnsiTheme="minorHAnsi" w:cstheme="minorHAnsi"/>
          <w:sz w:val="12"/>
          <w:szCs w:val="12"/>
          <w:lang w:eastAsia="cs-CZ"/>
        </w:rPr>
        <w:t>, vlastní certifikace</w:t>
      </w:r>
      <w:r>
        <w:rPr>
          <w:rFonts w:asciiTheme="minorHAnsi" w:eastAsia="Times New Roman" w:hAnsiTheme="minorHAnsi" w:cstheme="minorHAnsi"/>
          <w:b/>
          <w:sz w:val="12"/>
          <w:szCs w:val="12"/>
          <w:lang w:eastAsia="cs-CZ"/>
        </w:rPr>
        <w:t>, VDE, DIN, BS, EN, CENELEC, ANSI/IEEE</w:t>
      </w:r>
      <w:r>
        <w:rPr>
          <w:rFonts w:asciiTheme="minorHAnsi" w:eastAsia="Times New Roman" w:hAnsiTheme="minorHAnsi" w:cstheme="minorHAnsi"/>
          <w:sz w:val="12"/>
          <w:szCs w:val="12"/>
          <w:lang w:eastAsia="cs-CZ"/>
        </w:rPr>
        <w:t xml:space="preserve">, zařízení je vyrobeno dle směrnic: </w:t>
      </w:r>
      <w:r>
        <w:rPr>
          <w:rFonts w:asciiTheme="minorHAnsi" w:eastAsia="Times New Roman" w:hAnsiTheme="minorHAnsi" w:cstheme="minorHAnsi"/>
          <w:b/>
          <w:sz w:val="12"/>
          <w:szCs w:val="12"/>
          <w:lang w:eastAsia="cs-CZ"/>
        </w:rPr>
        <w:t xml:space="preserve">EU </w:t>
      </w:r>
      <w:proofErr w:type="gramStart"/>
      <w:r>
        <w:rPr>
          <w:rFonts w:asciiTheme="minorHAnsi" w:eastAsia="Times New Roman" w:hAnsiTheme="minorHAnsi" w:cstheme="minorHAnsi"/>
          <w:b/>
          <w:sz w:val="12"/>
          <w:szCs w:val="12"/>
          <w:lang w:eastAsia="cs-CZ"/>
        </w:rPr>
        <w:t>921/31/EEC,  EU</w:t>
      </w:r>
      <w:proofErr w:type="gramEnd"/>
      <w:r>
        <w:rPr>
          <w:rFonts w:asciiTheme="minorHAnsi" w:eastAsia="Times New Roman" w:hAnsiTheme="minorHAnsi" w:cstheme="minorHAnsi"/>
          <w:b/>
          <w:sz w:val="12"/>
          <w:szCs w:val="12"/>
          <w:lang w:eastAsia="cs-CZ"/>
        </w:rPr>
        <w:t xml:space="preserve"> 89/336/EEC</w:t>
      </w:r>
      <w:r>
        <w:rPr>
          <w:rFonts w:asciiTheme="minorHAnsi" w:eastAsia="Times New Roman" w:hAnsiTheme="minorHAnsi" w:cstheme="minorHAnsi"/>
          <w:sz w:val="12"/>
          <w:szCs w:val="12"/>
          <w:lang w:eastAsia="cs-CZ"/>
        </w:rPr>
        <w:t xml:space="preserve">.  Zařízení </w:t>
      </w:r>
      <w:proofErr w:type="gramStart"/>
      <w:r>
        <w:rPr>
          <w:rFonts w:asciiTheme="minorHAnsi" w:eastAsia="Times New Roman" w:hAnsiTheme="minorHAnsi" w:cstheme="minorHAnsi"/>
          <w:sz w:val="12"/>
          <w:szCs w:val="12"/>
          <w:lang w:eastAsia="cs-CZ"/>
        </w:rPr>
        <w:t xml:space="preserve">má </w:t>
      </w:r>
      <w:r w:rsidR="00D204D8">
        <w:rPr>
          <w:rFonts w:asciiTheme="minorHAnsi" w:eastAsia="Times New Roman" w:hAnsiTheme="minorHAnsi" w:cstheme="minorHAnsi"/>
          <w:sz w:val="12"/>
          <w:szCs w:val="12"/>
          <w:lang w:eastAsia="cs-CZ"/>
        </w:rPr>
        <w:t xml:space="preserve"> </w:t>
      </w:r>
      <w:r w:rsidR="007F1092">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platné</w:t>
      </w:r>
      <w:proofErr w:type="gramEnd"/>
      <w:r>
        <w:rPr>
          <w:rFonts w:asciiTheme="minorHAnsi" w:eastAsia="Times New Roman" w:hAnsiTheme="minorHAnsi" w:cstheme="minorHAnsi"/>
          <w:sz w:val="12"/>
          <w:szCs w:val="12"/>
          <w:lang w:eastAsia="cs-CZ"/>
        </w:rPr>
        <w:t xml:space="preserve"> prohlášení o shodě </w:t>
      </w:r>
      <w:r>
        <w:rPr>
          <w:rFonts w:asciiTheme="minorHAnsi" w:eastAsia="Times New Roman" w:hAnsiTheme="minorHAnsi" w:cstheme="minorHAnsi"/>
          <w:b/>
          <w:sz w:val="12"/>
          <w:szCs w:val="12"/>
          <w:lang w:eastAsia="cs-CZ"/>
        </w:rPr>
        <w:t>CE č. 200 101; 131 101, 181 210, 201 001</w:t>
      </w:r>
      <w:r>
        <w:rPr>
          <w:rFonts w:asciiTheme="minorHAnsi" w:eastAsia="Times New Roman" w:hAnsiTheme="minorHAnsi" w:cstheme="minorHAnsi"/>
          <w:sz w:val="12"/>
          <w:szCs w:val="12"/>
          <w:lang w:eastAsia="cs-CZ"/>
        </w:rPr>
        <w:t xml:space="preserve">. Zařízení má Inspekční certifikát dle </w:t>
      </w:r>
      <w:r>
        <w:rPr>
          <w:rFonts w:asciiTheme="minorHAnsi" w:eastAsia="Times New Roman" w:hAnsiTheme="minorHAnsi" w:cstheme="minorHAnsi"/>
          <w:b/>
          <w:sz w:val="12"/>
          <w:szCs w:val="12"/>
          <w:lang w:eastAsia="cs-CZ"/>
        </w:rPr>
        <w:t xml:space="preserve">TÜV </w:t>
      </w:r>
      <w:proofErr w:type="gramStart"/>
      <w:r>
        <w:rPr>
          <w:rFonts w:asciiTheme="minorHAnsi" w:eastAsia="Times New Roman" w:hAnsiTheme="minorHAnsi" w:cstheme="minorHAnsi"/>
          <w:b/>
          <w:sz w:val="12"/>
          <w:szCs w:val="12"/>
          <w:lang w:eastAsia="cs-CZ"/>
        </w:rPr>
        <w:t>č.06.897.749</w:t>
      </w:r>
      <w:proofErr w:type="gramEnd"/>
      <w:r>
        <w:rPr>
          <w:rFonts w:asciiTheme="minorHAnsi" w:eastAsia="Times New Roman" w:hAnsiTheme="minorHAnsi" w:cstheme="minorHAnsi"/>
          <w:sz w:val="12"/>
          <w:szCs w:val="12"/>
          <w:lang w:eastAsia="cs-CZ"/>
        </w:rPr>
        <w:t>, u zařízení proběhlo „</w:t>
      </w:r>
      <w:r w:rsidRPr="007F1092">
        <w:rPr>
          <w:rFonts w:asciiTheme="minorHAnsi" w:eastAsia="Times New Roman" w:hAnsiTheme="minorHAnsi" w:cstheme="minorHAnsi"/>
          <w:sz w:val="12"/>
          <w:szCs w:val="12"/>
          <w:u w:val="single"/>
          <w:lang w:eastAsia="cs-CZ"/>
        </w:rPr>
        <w:t>zhodnocení výrobků přicházejících  do styku s pitnou vodou</w:t>
      </w:r>
      <w:r>
        <w:rPr>
          <w:rFonts w:asciiTheme="minorHAnsi" w:eastAsia="Times New Roman" w:hAnsiTheme="minorHAnsi" w:cstheme="minorHAnsi"/>
          <w:sz w:val="12"/>
          <w:szCs w:val="12"/>
          <w:lang w:eastAsia="cs-CZ"/>
        </w:rPr>
        <w:t>“ akreditovanou zkušební laboratoří č.</w:t>
      </w:r>
      <w:r>
        <w:rPr>
          <w:rFonts w:asciiTheme="minorHAnsi" w:eastAsia="Times New Roman" w:hAnsiTheme="minorHAnsi" w:cstheme="minorHAnsi"/>
          <w:b/>
          <w:sz w:val="12"/>
          <w:szCs w:val="12"/>
          <w:lang w:eastAsia="cs-CZ"/>
        </w:rPr>
        <w:t>1147</w:t>
      </w:r>
      <w:r>
        <w:rPr>
          <w:rFonts w:asciiTheme="minorHAnsi" w:eastAsia="Times New Roman" w:hAnsiTheme="minorHAnsi" w:cstheme="minorHAnsi"/>
          <w:sz w:val="12"/>
          <w:szCs w:val="12"/>
          <w:lang w:eastAsia="cs-CZ"/>
        </w:rPr>
        <w:t xml:space="preserve">,  podle zákona </w:t>
      </w:r>
      <w:r>
        <w:rPr>
          <w:rFonts w:asciiTheme="minorHAnsi" w:eastAsia="Times New Roman" w:hAnsiTheme="minorHAnsi" w:cstheme="minorHAnsi"/>
          <w:b/>
          <w:sz w:val="12"/>
          <w:szCs w:val="12"/>
          <w:lang w:eastAsia="cs-CZ"/>
        </w:rPr>
        <w:t>č. 258/2000 Sb</w:t>
      </w:r>
      <w:r>
        <w:rPr>
          <w:rFonts w:asciiTheme="minorHAnsi" w:eastAsia="Times New Roman" w:hAnsiTheme="minorHAnsi" w:cstheme="minorHAnsi"/>
          <w:sz w:val="12"/>
          <w:szCs w:val="12"/>
          <w:lang w:eastAsia="cs-CZ"/>
        </w:rPr>
        <w:t xml:space="preserve">. </w:t>
      </w:r>
      <w:r w:rsidR="0028194E">
        <w:rPr>
          <w:rFonts w:asciiTheme="minorHAnsi" w:eastAsia="Times New Roman" w:hAnsiTheme="minorHAnsi" w:cstheme="minorHAnsi"/>
          <w:sz w:val="12"/>
          <w:szCs w:val="12"/>
          <w:lang w:eastAsia="cs-CZ"/>
        </w:rPr>
        <w:t>ve znění pozdějších předpisů</w:t>
      </w:r>
      <w:r w:rsidR="00BE43BA">
        <w:rPr>
          <w:rFonts w:asciiTheme="minorHAnsi" w:eastAsia="Times New Roman" w:hAnsiTheme="minorHAnsi" w:cstheme="minorHAnsi"/>
          <w:sz w:val="12"/>
          <w:szCs w:val="12"/>
          <w:lang w:eastAsia="cs-CZ"/>
        </w:rPr>
        <w:t xml:space="preserve"> podle zákona </w:t>
      </w:r>
      <w:r w:rsidR="00BE43BA" w:rsidRPr="00BE43BA">
        <w:rPr>
          <w:rFonts w:asciiTheme="minorHAnsi" w:eastAsia="Times New Roman" w:hAnsiTheme="minorHAnsi" w:cstheme="minorHAnsi"/>
          <w:b/>
          <w:sz w:val="12"/>
          <w:szCs w:val="12"/>
          <w:lang w:eastAsia="cs-CZ"/>
        </w:rPr>
        <w:t>č.</w:t>
      </w:r>
      <w:r w:rsidR="0028194E" w:rsidRPr="00446ABA">
        <w:rPr>
          <w:rFonts w:asciiTheme="minorHAnsi" w:eastAsia="Times New Roman" w:hAnsiTheme="minorHAnsi" w:cstheme="minorHAnsi"/>
          <w:b/>
          <w:sz w:val="12"/>
          <w:szCs w:val="12"/>
          <w:lang w:eastAsia="cs-CZ"/>
        </w:rPr>
        <w:t>205/2020 Sb</w:t>
      </w:r>
      <w:r w:rsidR="0028194E">
        <w:rPr>
          <w:rFonts w:asciiTheme="minorHAnsi" w:eastAsia="Times New Roman" w:hAnsiTheme="minorHAnsi" w:cstheme="minorHAnsi"/>
          <w:sz w:val="12"/>
          <w:szCs w:val="12"/>
          <w:lang w:eastAsia="cs-CZ"/>
        </w:rPr>
        <w:t>.</w:t>
      </w:r>
      <w:r w:rsidR="00446ABA">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Filtrační zařízení dlouhodobě </w:t>
      </w:r>
      <w:r w:rsidR="007F1092">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splňuje</w:t>
      </w:r>
      <w:r w:rsidR="007F1092">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parametry</w:t>
      </w:r>
      <w:r>
        <w:rPr>
          <w:rFonts w:eastAsia="Times New Roman" w:cstheme="minorHAnsi"/>
          <w:sz w:val="12"/>
          <w:szCs w:val="12"/>
          <w:lang w:eastAsia="cs-CZ"/>
        </w:rPr>
        <w:t xml:space="preserve"> </w:t>
      </w:r>
      <w:proofErr w:type="gramStart"/>
      <w:r>
        <w:rPr>
          <w:rFonts w:asciiTheme="minorHAnsi" w:eastAsia="Times New Roman" w:hAnsiTheme="minorHAnsi" w:cstheme="minorHAnsi"/>
          <w:sz w:val="12"/>
          <w:szCs w:val="12"/>
          <w:lang w:eastAsia="cs-CZ"/>
        </w:rPr>
        <w:t>dle</w:t>
      </w:r>
      <w:r w:rsidR="007F1092">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použití</w:t>
      </w:r>
      <w:proofErr w:type="gramEnd"/>
      <w:r>
        <w:rPr>
          <w:rFonts w:asciiTheme="minorHAnsi" w:eastAsia="Times New Roman" w:hAnsiTheme="minorHAnsi" w:cstheme="minorHAnsi"/>
          <w:sz w:val="12"/>
          <w:szCs w:val="12"/>
          <w:lang w:eastAsia="cs-CZ"/>
        </w:rPr>
        <w:t>,</w:t>
      </w:r>
      <w:r>
        <w:rPr>
          <w:rFonts w:eastAsia="Times New Roman" w:cstheme="minorHAnsi"/>
          <w:sz w:val="12"/>
          <w:szCs w:val="12"/>
          <w:lang w:eastAsia="cs-CZ"/>
        </w:rPr>
        <w:t xml:space="preserve"> </w:t>
      </w:r>
      <w:r>
        <w:rPr>
          <w:rFonts w:asciiTheme="minorHAnsi" w:eastAsia="Times New Roman" w:hAnsiTheme="minorHAnsi" w:cstheme="minorHAnsi"/>
          <w:sz w:val="12"/>
          <w:szCs w:val="12"/>
          <w:lang w:eastAsia="cs-CZ"/>
        </w:rPr>
        <w:t xml:space="preserve"> pro trvalou výrobu </w:t>
      </w:r>
      <w:r w:rsidR="007F1092">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analytické, technologické, AGRO, pitné, balené a kojenecké vody a takto vyrobená </w:t>
      </w:r>
      <w:r w:rsidR="00D204D8">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pitná voda</w:t>
      </w:r>
      <w:r w:rsidR="00D204D8">
        <w:rPr>
          <w:rFonts w:asciiTheme="minorHAnsi" w:eastAsia="Times New Roman" w:hAnsiTheme="minorHAnsi" w:cstheme="minorHAnsi"/>
          <w:sz w:val="12"/>
          <w:szCs w:val="12"/>
          <w:lang w:eastAsia="cs-CZ"/>
        </w:rPr>
        <w:t xml:space="preserve"> </w:t>
      </w:r>
      <w:r>
        <w:rPr>
          <w:rFonts w:asciiTheme="minorHAnsi" w:eastAsia="Times New Roman" w:hAnsiTheme="minorHAnsi" w:cstheme="minorHAnsi"/>
          <w:sz w:val="12"/>
          <w:szCs w:val="12"/>
          <w:lang w:eastAsia="cs-CZ"/>
        </w:rPr>
        <w:t xml:space="preserve"> je vhodná pro trvalou konzumaci bez omezení.</w:t>
      </w:r>
    </w:p>
    <w:p w:rsidR="00287B1D" w:rsidRDefault="00DA44D0">
      <w:pPr>
        <w:rPr>
          <w:color w:val="CC00FF"/>
          <w:sz w:val="16"/>
          <w:szCs w:val="16"/>
        </w:rPr>
      </w:pPr>
      <w:r>
        <w:rPr>
          <w:noProof/>
          <w:lang w:eastAsia="cs-CZ"/>
        </w:rPr>
        <w:drawing>
          <wp:anchor distT="0" distB="0" distL="0" distR="0" simplePos="0" relativeHeight="228" behindDoc="0" locked="0" layoutInCell="1" allowOverlap="1" wp14:anchorId="2239E07B" wp14:editId="21658C21">
            <wp:simplePos x="0" y="0"/>
            <wp:positionH relativeFrom="column">
              <wp:posOffset>1043305</wp:posOffset>
            </wp:positionH>
            <wp:positionV relativeFrom="paragraph">
              <wp:posOffset>89535</wp:posOffset>
            </wp:positionV>
            <wp:extent cx="3096895" cy="2477770"/>
            <wp:effectExtent l="0" t="0" r="8255" b="0"/>
            <wp:wrapSquare wrapText="largest"/>
            <wp:docPr id="127" name="Obrázek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Obrázek27"/>
                    <pic:cNvPicPr>
                      <a:picLocks noChangeAspect="1" noChangeArrowheads="1"/>
                    </pic:cNvPicPr>
                  </pic:nvPicPr>
                  <pic:blipFill>
                    <a:blip r:embed="rId366"/>
                    <a:stretch>
                      <a:fillRect/>
                    </a:stretch>
                  </pic:blipFill>
                  <pic:spPr bwMode="auto">
                    <a:xfrm>
                      <a:off x="0" y="0"/>
                      <a:ext cx="3096895" cy="2477770"/>
                    </a:xfrm>
                    <a:prstGeom prst="rect">
                      <a:avLst/>
                    </a:prstGeom>
                  </pic:spPr>
                </pic:pic>
              </a:graphicData>
            </a:graphic>
            <wp14:sizeRelH relativeFrom="margin">
              <wp14:pctWidth>0</wp14:pctWidth>
            </wp14:sizeRelH>
            <wp14:sizeRelV relativeFrom="margin">
              <wp14:pctHeight>0</wp14:pctHeight>
            </wp14:sizeRelV>
          </wp:anchor>
        </w:drawing>
      </w:r>
    </w:p>
    <w:p w:rsidR="00287B1D" w:rsidRDefault="00287B1D">
      <w:pPr>
        <w:rPr>
          <w:color w:val="CC00FF"/>
          <w:sz w:val="16"/>
          <w:szCs w:val="16"/>
        </w:rPr>
      </w:pPr>
    </w:p>
    <w:p w:rsidR="00287B1D" w:rsidRDefault="00287B1D">
      <w:pPr>
        <w:rPr>
          <w:color w:val="CC00FF"/>
          <w:sz w:val="16"/>
          <w:szCs w:val="16"/>
        </w:rPr>
      </w:pPr>
    </w:p>
    <w:sectPr w:rsidR="00287B1D">
      <w:headerReference w:type="default" r:id="rId367"/>
      <w:footerReference w:type="default" r:id="rId368"/>
      <w:pgSz w:w="11906" w:h="16838"/>
      <w:pgMar w:top="1417" w:right="1133" w:bottom="1417" w:left="1134" w:header="454" w:footer="283" w:gutter="0"/>
      <w:cols w:space="708"/>
      <w:formProt w:val="0"/>
      <w:docGrid w:linePitch="36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2CC0" w:rsidRDefault="00002CC0">
      <w:pPr>
        <w:spacing w:after="0" w:line="240" w:lineRule="auto"/>
      </w:pPr>
      <w:r>
        <w:separator/>
      </w:r>
    </w:p>
  </w:endnote>
  <w:endnote w:type="continuationSeparator" w:id="0">
    <w:p w:rsidR="00002CC0" w:rsidRDefault="00002C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Liberation Sans">
    <w:altName w:val="Arial"/>
    <w:charset w:val="01"/>
    <w:family w:val="swiss"/>
    <w:pitch w:val="variable"/>
  </w:font>
  <w:font w:name="Noto Sans CJK SC">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Mangal">
    <w:altName w:val="Gentium Basic"/>
    <w:panose1 w:val="02040503050203030202"/>
    <w:charset w:val="01"/>
    <w:family w:val="roman"/>
    <w:notTrueType/>
    <w:pitch w:val="variable"/>
    <w:sig w:usb0="00002000" w:usb1="00000000" w:usb2="00000000" w:usb3="00000000" w:csb0="00000000"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DINNextLTPro-Light">
    <w:panose1 w:val="00000000000000000000"/>
    <w:charset w:val="00"/>
    <w:family w:val="roman"/>
    <w:notTrueType/>
    <w:pitch w:val="default"/>
  </w:font>
  <w:font w:name="Segoe UI Black">
    <w:panose1 w:val="020B0A02040204020203"/>
    <w:charset w:val="EE"/>
    <w:family w:val="swiss"/>
    <w:pitch w:val="variable"/>
    <w:sig w:usb0="E00002FF" w:usb1="4000E47F" w:usb2="00000021" w:usb3="00000000" w:csb0="0000019F" w:csb1="00000000"/>
  </w:font>
  <w:font w:name="inherit">
    <w:altName w:val="Times New Roman"/>
    <w:charset w:val="01"/>
    <w:family w:val="roman"/>
    <w:pitch w:val="variable"/>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0139538"/>
      <w:docPartObj>
        <w:docPartGallery w:val="Page Numbers (Bottom of Page)"/>
        <w:docPartUnique/>
      </w:docPartObj>
    </w:sdtPr>
    <w:sdtContent>
      <w:p w:rsidR="00002CC0" w:rsidRDefault="00002CC0">
        <w:pPr>
          <w:pStyle w:val="Zpat"/>
          <w:rPr>
            <w:sz w:val="20"/>
            <w:szCs w:val="20"/>
          </w:rPr>
        </w:pPr>
        <w:r>
          <w:rPr>
            <w:noProof/>
            <w:sz w:val="20"/>
            <w:szCs w:val="20"/>
            <w:lang w:eastAsia="cs-CZ"/>
          </w:rPr>
          <w:drawing>
            <wp:anchor distT="0" distB="0" distL="0" distR="0" simplePos="0" relativeHeight="51" behindDoc="1" locked="0" layoutInCell="1" allowOverlap="1">
              <wp:simplePos x="0" y="0"/>
              <wp:positionH relativeFrom="column">
                <wp:posOffset>-234950</wp:posOffset>
              </wp:positionH>
              <wp:positionV relativeFrom="paragraph">
                <wp:posOffset>60325</wp:posOffset>
              </wp:positionV>
              <wp:extent cx="6302375" cy="879475"/>
              <wp:effectExtent l="0" t="0" r="0" b="0"/>
              <wp:wrapNone/>
              <wp:docPr id="129"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Obrázek 116"/>
                      <pic:cNvPicPr>
                        <a:picLocks noChangeAspect="1" noChangeArrowheads="1"/>
                      </pic:cNvPicPr>
                    </pic:nvPicPr>
                    <pic:blipFill>
                      <a:blip r:embed="rId1"/>
                      <a:stretch>
                        <a:fillRect/>
                      </a:stretch>
                    </pic:blipFill>
                    <pic:spPr bwMode="auto">
                      <a:xfrm>
                        <a:off x="0" y="0"/>
                        <a:ext cx="6302375" cy="879475"/>
                      </a:xfrm>
                      <a:prstGeom prst="rect">
                        <a:avLst/>
                      </a:prstGeom>
                    </pic:spPr>
                  </pic:pic>
                </a:graphicData>
              </a:graphic>
            </wp:anchor>
          </w:drawing>
        </w:r>
      </w:p>
      <w:p w:rsidR="00002CC0" w:rsidRDefault="00002CC0">
        <w:pPr>
          <w:pBdr>
            <w:top w:val="single" w:sz="4" w:space="1" w:color="939597"/>
          </w:pBdr>
          <w:ind w:left="-851"/>
          <w:jc w:val="center"/>
          <w:rPr>
            <w:sz w:val="20"/>
            <w:szCs w:val="20"/>
          </w:rPr>
        </w:pPr>
      </w:p>
      <w:p w:rsidR="00002CC0" w:rsidRDefault="00002CC0">
        <w:pPr>
          <w:pStyle w:val="Zpat"/>
          <w:rPr>
            <w:rFonts w:ascii="Arial Unicode MS" w:eastAsia="Arial Unicode MS" w:hAnsi="Arial Unicode MS" w:cs="Arial Unicode MS"/>
            <w:sz w:val="20"/>
            <w:szCs w:val="20"/>
          </w:rPr>
        </w:pPr>
      </w:p>
      <w:p w:rsidR="00002CC0" w:rsidRDefault="00002CC0">
        <w:pPr>
          <w:pStyle w:val="Zpat"/>
        </w:pPr>
      </w:p>
      <w:p w:rsidR="00002CC0" w:rsidRDefault="00002CC0">
        <w:pPr>
          <w:pStyle w:val="Zpat"/>
          <w:ind w:left="-284"/>
          <w:jc w:val="center"/>
        </w:pPr>
        <w:r>
          <w:fldChar w:fldCharType="begin"/>
        </w:r>
        <w:r>
          <w:instrText>PAGE</w:instrText>
        </w:r>
        <w:r>
          <w:fldChar w:fldCharType="separate"/>
        </w:r>
        <w:r w:rsidR="007D3570">
          <w:rPr>
            <w:noProof/>
          </w:rPr>
          <w:t>53</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2CC0" w:rsidRDefault="00002CC0">
      <w:pPr>
        <w:spacing w:after="0" w:line="240" w:lineRule="auto"/>
      </w:pPr>
      <w:r>
        <w:separator/>
      </w:r>
    </w:p>
  </w:footnote>
  <w:footnote w:type="continuationSeparator" w:id="0">
    <w:p w:rsidR="00002CC0" w:rsidRDefault="00002CC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2CC0" w:rsidRDefault="00002CC0">
    <w:pPr>
      <w:pStyle w:val="Zhlav"/>
      <w:jc w:val="right"/>
    </w:pPr>
  </w:p>
  <w:p w:rsidR="00002CC0" w:rsidRDefault="00002CC0">
    <w:pPr>
      <w:pStyle w:val="Zhlav"/>
      <w:pBdr>
        <w:bottom w:val="single" w:sz="4" w:space="1" w:color="939597"/>
      </w:pBdr>
      <w:ind w:left="-851"/>
      <w:jc w:val="right"/>
    </w:pPr>
    <w:r>
      <w:rPr>
        <w:noProof/>
        <w:lang w:eastAsia="cs-CZ"/>
      </w:rPr>
      <w:drawing>
        <wp:inline distT="0" distB="0" distL="0" distR="0">
          <wp:extent cx="2682875" cy="192405"/>
          <wp:effectExtent l="0" t="0" r="0" b="0"/>
          <wp:docPr id="128"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Obrázek 114"/>
                  <pic:cNvPicPr>
                    <a:picLocks noChangeAspect="1" noChangeArrowheads="1"/>
                  </pic:cNvPicPr>
                </pic:nvPicPr>
                <pic:blipFill>
                  <a:blip r:embed="rId1"/>
                  <a:stretch>
                    <a:fillRect/>
                  </a:stretch>
                </pic:blipFill>
                <pic:spPr bwMode="auto">
                  <a:xfrm>
                    <a:off x="0" y="0"/>
                    <a:ext cx="2682875" cy="19240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 id="_x0000_i1041" style="width:337.6pt;height:284.95pt" coordsize="" o:spt="100" o:bullet="t" adj="0,,0" path="" stroked="f">
        <v:stroke joinstyle="miter"/>
        <v:imagedata r:id="rId1" o:title=""/>
        <v:formulas/>
        <v:path o:connecttype="segments"/>
      </v:shape>
    </w:pict>
  </w:numPicBullet>
  <w:numPicBullet w:numPicBulletId="1">
    <w:pict>
      <v:shape id="_x0000_i1042" style="width:615.05pt;height:511.55pt" coordsize="" o:spt="100" o:bullet="t" adj="0,,0" path="" stroked="f">
        <v:stroke joinstyle="miter"/>
        <v:imagedata r:id="rId2" o:title=""/>
        <v:formulas/>
        <v:path o:connecttype="segments"/>
      </v:shape>
    </w:pict>
  </w:numPicBullet>
  <w:numPicBullet w:numPicBulletId="2">
    <w:pict>
      <v:shape id="_x0000_i1043" style="width:615.05pt;height:511.55pt" coordsize="" o:spt="100" o:bullet="t" adj="0,,0" path="" stroked="f">
        <v:stroke joinstyle="miter"/>
        <v:imagedata r:id="rId3" o:title=""/>
        <v:formulas/>
        <v:path o:connecttype="segments"/>
      </v:shape>
    </w:pict>
  </w:numPicBullet>
  <w:numPicBullet w:numPicBulletId="3">
    <w:pict>
      <v:shape id="_x0000_i1044" style="width:13.3pt;height:11.2pt" coordsize="" o:spt="100" o:bullet="t" adj="0,,0" path="" stroked="f">
        <v:stroke joinstyle="miter"/>
        <v:imagedata r:id="rId4" o:title=""/>
        <v:formulas/>
        <v:path o:connecttype="segments"/>
      </v:shape>
    </w:pict>
  </w:numPicBullet>
  <w:numPicBullet w:numPicBulletId="4">
    <w:pict>
      <v:shape id="_x0000_i1045" style="width:23pt;height:13.9pt" coordsize="" o:spt="100" o:bullet="t" adj="0,,0" path="" stroked="f">
        <v:stroke joinstyle="miter"/>
        <v:imagedata r:id="rId5" o:title=""/>
        <v:formulas/>
        <v:path o:connecttype="segments"/>
      </v:shape>
    </w:pict>
  </w:numPicBullet>
  <w:abstractNum w:abstractNumId="0">
    <w:nsid w:val="013C7863"/>
    <w:multiLevelType w:val="multilevel"/>
    <w:tmpl w:val="9DB6FDF0"/>
    <w:lvl w:ilvl="0">
      <w:start w:val="1"/>
      <w:numFmt w:val="decimal"/>
      <w:lvlText w:val="%1)"/>
      <w:lvlJc w:val="left"/>
      <w:pPr>
        <w:tabs>
          <w:tab w:val="num" w:pos="0"/>
        </w:tabs>
        <w:ind w:left="720" w:hanging="360"/>
      </w:pPr>
      <w:rPr>
        <w:color w:val="auto"/>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nsid w:val="01693EB8"/>
    <w:multiLevelType w:val="multilevel"/>
    <w:tmpl w:val="A1303A18"/>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
    <w:nsid w:val="024250D5"/>
    <w:multiLevelType w:val="multilevel"/>
    <w:tmpl w:val="95FA138E"/>
    <w:lvl w:ilvl="0">
      <w:start w:val="1"/>
      <w:numFmt w:val="bullet"/>
      <w:lvlText w:val="•"/>
      <w:lvlPicBulletId w:val="0"/>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3">
    <w:nsid w:val="07404EF7"/>
    <w:multiLevelType w:val="multilevel"/>
    <w:tmpl w:val="26D2922C"/>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4">
    <w:nsid w:val="0FB65B3F"/>
    <w:multiLevelType w:val="multilevel"/>
    <w:tmpl w:val="AE30EC62"/>
    <w:lvl w:ilvl="0">
      <w:start w:val="1"/>
      <w:numFmt w:val="bullet"/>
      <w:lvlText w:val="•"/>
      <w:lvlPicBulletId w:val="0"/>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5">
    <w:nsid w:val="12D77185"/>
    <w:multiLevelType w:val="multilevel"/>
    <w:tmpl w:val="BA0CF9BE"/>
    <w:lvl w:ilvl="0">
      <w:start w:val="1"/>
      <w:numFmt w:val="bullet"/>
      <w:lvlText w:val="•"/>
      <w:lvlPicBulletId w:val="2"/>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6">
    <w:nsid w:val="14A70A96"/>
    <w:multiLevelType w:val="multilevel"/>
    <w:tmpl w:val="78526B38"/>
    <w:lvl w:ilvl="0">
      <w:start w:val="1"/>
      <w:numFmt w:val="lowerLetter"/>
      <w:lvlText w:val="%1)"/>
      <w:lvlJc w:val="left"/>
      <w:pPr>
        <w:tabs>
          <w:tab w:val="num" w:pos="0"/>
        </w:tabs>
        <w:ind w:left="-66" w:hanging="360"/>
      </w:pPr>
      <w:rPr>
        <w:b/>
        <w:i/>
      </w:rPr>
    </w:lvl>
    <w:lvl w:ilvl="1">
      <w:start w:val="1"/>
      <w:numFmt w:val="lowerLetter"/>
      <w:lvlText w:val="%2."/>
      <w:lvlJc w:val="left"/>
      <w:pPr>
        <w:tabs>
          <w:tab w:val="num" w:pos="0"/>
        </w:tabs>
        <w:ind w:left="654" w:hanging="360"/>
      </w:pPr>
    </w:lvl>
    <w:lvl w:ilvl="2">
      <w:start w:val="1"/>
      <w:numFmt w:val="lowerRoman"/>
      <w:lvlText w:val="%3."/>
      <w:lvlJc w:val="right"/>
      <w:pPr>
        <w:tabs>
          <w:tab w:val="num" w:pos="0"/>
        </w:tabs>
        <w:ind w:left="1374" w:hanging="180"/>
      </w:pPr>
    </w:lvl>
    <w:lvl w:ilvl="3">
      <w:start w:val="1"/>
      <w:numFmt w:val="decimal"/>
      <w:lvlText w:val="%4."/>
      <w:lvlJc w:val="left"/>
      <w:pPr>
        <w:tabs>
          <w:tab w:val="num" w:pos="0"/>
        </w:tabs>
        <w:ind w:left="2094" w:hanging="360"/>
      </w:pPr>
    </w:lvl>
    <w:lvl w:ilvl="4">
      <w:start w:val="1"/>
      <w:numFmt w:val="lowerLetter"/>
      <w:lvlText w:val="%5."/>
      <w:lvlJc w:val="left"/>
      <w:pPr>
        <w:tabs>
          <w:tab w:val="num" w:pos="0"/>
        </w:tabs>
        <w:ind w:left="2814" w:hanging="360"/>
      </w:pPr>
    </w:lvl>
    <w:lvl w:ilvl="5">
      <w:start w:val="1"/>
      <w:numFmt w:val="lowerRoman"/>
      <w:lvlText w:val="%6."/>
      <w:lvlJc w:val="right"/>
      <w:pPr>
        <w:tabs>
          <w:tab w:val="num" w:pos="0"/>
        </w:tabs>
        <w:ind w:left="3534" w:hanging="180"/>
      </w:pPr>
    </w:lvl>
    <w:lvl w:ilvl="6">
      <w:start w:val="1"/>
      <w:numFmt w:val="decimal"/>
      <w:lvlText w:val="%7."/>
      <w:lvlJc w:val="left"/>
      <w:pPr>
        <w:tabs>
          <w:tab w:val="num" w:pos="0"/>
        </w:tabs>
        <w:ind w:left="4254" w:hanging="360"/>
      </w:pPr>
    </w:lvl>
    <w:lvl w:ilvl="7">
      <w:start w:val="1"/>
      <w:numFmt w:val="lowerLetter"/>
      <w:lvlText w:val="%8."/>
      <w:lvlJc w:val="left"/>
      <w:pPr>
        <w:tabs>
          <w:tab w:val="num" w:pos="0"/>
        </w:tabs>
        <w:ind w:left="4974" w:hanging="360"/>
      </w:pPr>
    </w:lvl>
    <w:lvl w:ilvl="8">
      <w:start w:val="1"/>
      <w:numFmt w:val="lowerRoman"/>
      <w:lvlText w:val="%9."/>
      <w:lvlJc w:val="right"/>
      <w:pPr>
        <w:tabs>
          <w:tab w:val="num" w:pos="0"/>
        </w:tabs>
        <w:ind w:left="5694" w:hanging="180"/>
      </w:pPr>
    </w:lvl>
  </w:abstractNum>
  <w:abstractNum w:abstractNumId="7">
    <w:nsid w:val="14B05682"/>
    <w:multiLevelType w:val="multilevel"/>
    <w:tmpl w:val="E14A8FC0"/>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8">
    <w:nsid w:val="1AC8332A"/>
    <w:multiLevelType w:val="multilevel"/>
    <w:tmpl w:val="F9F821EA"/>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9">
    <w:nsid w:val="1B072394"/>
    <w:multiLevelType w:val="multilevel"/>
    <w:tmpl w:val="3F9CA8B0"/>
    <w:lvl w:ilvl="0">
      <w:start w:val="1"/>
      <w:numFmt w:val="bullet"/>
      <w:lvlText w:val="•"/>
      <w:lvlPicBulletId w:val="0"/>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10">
    <w:nsid w:val="248655A5"/>
    <w:multiLevelType w:val="multilevel"/>
    <w:tmpl w:val="A0FC706A"/>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1">
    <w:nsid w:val="2BCA189F"/>
    <w:multiLevelType w:val="multilevel"/>
    <w:tmpl w:val="6F6E48EC"/>
    <w:lvl w:ilvl="0">
      <w:start w:val="1"/>
      <w:numFmt w:val="bullet"/>
      <w:lvlText w:val="•"/>
      <w:lvlPicBulletId w:val="4"/>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12">
    <w:nsid w:val="319017D3"/>
    <w:multiLevelType w:val="multilevel"/>
    <w:tmpl w:val="7F30E586"/>
    <w:lvl w:ilvl="0">
      <w:start w:val="1"/>
      <w:numFmt w:val="bullet"/>
      <w:lvlText w:val="•"/>
      <w:lvlPicBulletId w:val="3"/>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13">
    <w:nsid w:val="38CB7482"/>
    <w:multiLevelType w:val="multilevel"/>
    <w:tmpl w:val="DD70BE6C"/>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4">
    <w:nsid w:val="44901AFA"/>
    <w:multiLevelType w:val="multilevel"/>
    <w:tmpl w:val="4776D144"/>
    <w:lvl w:ilvl="0">
      <w:start w:val="1"/>
      <w:numFmt w:val="bullet"/>
      <w:lvlText w:val="•"/>
      <w:lvlPicBulletId w:val="0"/>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15">
    <w:nsid w:val="4C9C3EE8"/>
    <w:multiLevelType w:val="multilevel"/>
    <w:tmpl w:val="0EF6759A"/>
    <w:lvl w:ilvl="0">
      <w:start w:val="1"/>
      <w:numFmt w:val="bullet"/>
      <w:lvlText w:val="•"/>
      <w:lvlPicBulletId w:val="1"/>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16">
    <w:nsid w:val="519630A1"/>
    <w:multiLevelType w:val="multilevel"/>
    <w:tmpl w:val="B928BF12"/>
    <w:lvl w:ilvl="0">
      <w:start w:val="1"/>
      <w:numFmt w:val="bullet"/>
      <w:lvlText w:val="•"/>
      <w:lvlPicBulletId w:val="2"/>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17">
    <w:nsid w:val="52B93F29"/>
    <w:multiLevelType w:val="multilevel"/>
    <w:tmpl w:val="A148C9D8"/>
    <w:lvl w:ilvl="0">
      <w:start w:val="1"/>
      <w:numFmt w:val="bullet"/>
      <w:lvlText w:val="•"/>
      <w:lvlPicBulletId w:val="0"/>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18">
    <w:nsid w:val="53AF37B6"/>
    <w:multiLevelType w:val="multilevel"/>
    <w:tmpl w:val="24D8EE86"/>
    <w:lvl w:ilvl="0">
      <w:start w:val="1"/>
      <w:numFmt w:val="bullet"/>
      <w:lvlText w:val="•"/>
      <w:lvlPicBulletId w:val="0"/>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19">
    <w:nsid w:val="5A633EB8"/>
    <w:multiLevelType w:val="multilevel"/>
    <w:tmpl w:val="8EF26442"/>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0">
    <w:nsid w:val="643E581B"/>
    <w:multiLevelType w:val="multilevel"/>
    <w:tmpl w:val="93F47DCC"/>
    <w:lvl w:ilvl="0">
      <w:start w:val="1"/>
      <w:numFmt w:val="bullet"/>
      <w:lvlText w:val="•"/>
      <w:lvlPicBulletId w:val="3"/>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21">
    <w:nsid w:val="64BA7210"/>
    <w:multiLevelType w:val="multilevel"/>
    <w:tmpl w:val="5FA4B0C8"/>
    <w:lvl w:ilvl="0">
      <w:start w:val="1"/>
      <w:numFmt w:val="bullet"/>
      <w:lvlText w:val="•"/>
      <w:lvlPicBulletId w:val="3"/>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22">
    <w:nsid w:val="681B1056"/>
    <w:multiLevelType w:val="multilevel"/>
    <w:tmpl w:val="E00EF750"/>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3">
    <w:nsid w:val="6EBF5C43"/>
    <w:multiLevelType w:val="multilevel"/>
    <w:tmpl w:val="7ABE6FD0"/>
    <w:lvl w:ilvl="0">
      <w:start w:val="1"/>
      <w:numFmt w:val="bullet"/>
      <w:lvlText w:val="•"/>
      <w:lvlPicBulletId w:val="0"/>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24">
    <w:nsid w:val="70F52EFF"/>
    <w:multiLevelType w:val="multilevel"/>
    <w:tmpl w:val="625616BA"/>
    <w:lvl w:ilvl="0">
      <w:start w:val="1"/>
      <w:numFmt w:val="bullet"/>
      <w:lvlText w:val="•"/>
      <w:lvlPicBulletId w:val="3"/>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25">
    <w:nsid w:val="74250889"/>
    <w:multiLevelType w:val="multilevel"/>
    <w:tmpl w:val="3E8A8D7A"/>
    <w:lvl w:ilvl="0">
      <w:start w:val="1"/>
      <w:numFmt w:val="decimal"/>
      <w:lvlText w:val="%1)"/>
      <w:lvlJc w:val="left"/>
      <w:pPr>
        <w:tabs>
          <w:tab w:val="num" w:pos="0"/>
        </w:tabs>
        <w:ind w:left="-207" w:hanging="360"/>
      </w:pPr>
    </w:lvl>
    <w:lvl w:ilvl="1">
      <w:start w:val="1"/>
      <w:numFmt w:val="lowerLetter"/>
      <w:lvlText w:val="%2."/>
      <w:lvlJc w:val="left"/>
      <w:pPr>
        <w:tabs>
          <w:tab w:val="num" w:pos="0"/>
        </w:tabs>
        <w:ind w:left="513" w:hanging="360"/>
      </w:pPr>
    </w:lvl>
    <w:lvl w:ilvl="2">
      <w:start w:val="1"/>
      <w:numFmt w:val="lowerRoman"/>
      <w:lvlText w:val="%3."/>
      <w:lvlJc w:val="right"/>
      <w:pPr>
        <w:tabs>
          <w:tab w:val="num" w:pos="0"/>
        </w:tabs>
        <w:ind w:left="1233" w:hanging="180"/>
      </w:pPr>
    </w:lvl>
    <w:lvl w:ilvl="3">
      <w:start w:val="1"/>
      <w:numFmt w:val="decimal"/>
      <w:lvlText w:val="%4."/>
      <w:lvlJc w:val="left"/>
      <w:pPr>
        <w:tabs>
          <w:tab w:val="num" w:pos="0"/>
        </w:tabs>
        <w:ind w:left="1953" w:hanging="360"/>
      </w:pPr>
    </w:lvl>
    <w:lvl w:ilvl="4">
      <w:start w:val="1"/>
      <w:numFmt w:val="lowerLetter"/>
      <w:lvlText w:val="%5."/>
      <w:lvlJc w:val="left"/>
      <w:pPr>
        <w:tabs>
          <w:tab w:val="num" w:pos="0"/>
        </w:tabs>
        <w:ind w:left="2673" w:hanging="360"/>
      </w:pPr>
    </w:lvl>
    <w:lvl w:ilvl="5">
      <w:start w:val="1"/>
      <w:numFmt w:val="lowerRoman"/>
      <w:lvlText w:val="%6."/>
      <w:lvlJc w:val="right"/>
      <w:pPr>
        <w:tabs>
          <w:tab w:val="num" w:pos="0"/>
        </w:tabs>
        <w:ind w:left="3393" w:hanging="180"/>
      </w:pPr>
    </w:lvl>
    <w:lvl w:ilvl="6">
      <w:start w:val="1"/>
      <w:numFmt w:val="decimal"/>
      <w:lvlText w:val="%7."/>
      <w:lvlJc w:val="left"/>
      <w:pPr>
        <w:tabs>
          <w:tab w:val="num" w:pos="0"/>
        </w:tabs>
        <w:ind w:left="4113" w:hanging="360"/>
      </w:pPr>
    </w:lvl>
    <w:lvl w:ilvl="7">
      <w:start w:val="1"/>
      <w:numFmt w:val="lowerLetter"/>
      <w:lvlText w:val="%8."/>
      <w:lvlJc w:val="left"/>
      <w:pPr>
        <w:tabs>
          <w:tab w:val="num" w:pos="0"/>
        </w:tabs>
        <w:ind w:left="4833" w:hanging="360"/>
      </w:pPr>
    </w:lvl>
    <w:lvl w:ilvl="8">
      <w:start w:val="1"/>
      <w:numFmt w:val="lowerRoman"/>
      <w:lvlText w:val="%9."/>
      <w:lvlJc w:val="right"/>
      <w:pPr>
        <w:tabs>
          <w:tab w:val="num" w:pos="0"/>
        </w:tabs>
        <w:ind w:left="5553" w:hanging="180"/>
      </w:pPr>
    </w:lvl>
  </w:abstractNum>
  <w:abstractNum w:abstractNumId="26">
    <w:nsid w:val="75A33086"/>
    <w:multiLevelType w:val="multilevel"/>
    <w:tmpl w:val="8E9ECC50"/>
    <w:lvl w:ilvl="0">
      <w:start w:val="1"/>
      <w:numFmt w:val="bullet"/>
      <w:lvlText w:val="•"/>
      <w:lvlPicBulletId w:val="0"/>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27">
    <w:nsid w:val="7F7B6C04"/>
    <w:multiLevelType w:val="multilevel"/>
    <w:tmpl w:val="61649D88"/>
    <w:lvl w:ilvl="0">
      <w:start w:val="1"/>
      <w:numFmt w:val="bullet"/>
      <w:lvlText w:val="•"/>
      <w:lvlPicBulletId w:val="0"/>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num w:numId="1">
    <w:abstractNumId w:val="9"/>
  </w:num>
  <w:num w:numId="2">
    <w:abstractNumId w:val="26"/>
  </w:num>
  <w:num w:numId="3">
    <w:abstractNumId w:val="15"/>
  </w:num>
  <w:num w:numId="4">
    <w:abstractNumId w:val="2"/>
  </w:num>
  <w:num w:numId="5">
    <w:abstractNumId w:val="18"/>
  </w:num>
  <w:num w:numId="6">
    <w:abstractNumId w:val="5"/>
  </w:num>
  <w:num w:numId="7">
    <w:abstractNumId w:val="16"/>
  </w:num>
  <w:num w:numId="8">
    <w:abstractNumId w:val="17"/>
  </w:num>
  <w:num w:numId="9">
    <w:abstractNumId w:val="27"/>
  </w:num>
  <w:num w:numId="10">
    <w:abstractNumId w:val="23"/>
  </w:num>
  <w:num w:numId="11">
    <w:abstractNumId w:val="4"/>
  </w:num>
  <w:num w:numId="12">
    <w:abstractNumId w:val="0"/>
  </w:num>
  <w:num w:numId="13">
    <w:abstractNumId w:val="14"/>
  </w:num>
  <w:num w:numId="14">
    <w:abstractNumId w:val="20"/>
  </w:num>
  <w:num w:numId="15">
    <w:abstractNumId w:val="12"/>
  </w:num>
  <w:num w:numId="16">
    <w:abstractNumId w:val="21"/>
  </w:num>
  <w:num w:numId="17">
    <w:abstractNumId w:val="11"/>
  </w:num>
  <w:num w:numId="18">
    <w:abstractNumId w:val="25"/>
  </w:num>
  <w:num w:numId="19">
    <w:abstractNumId w:val="6"/>
  </w:num>
  <w:num w:numId="20">
    <w:abstractNumId w:val="24"/>
  </w:num>
  <w:num w:numId="21">
    <w:abstractNumId w:val="7"/>
  </w:num>
  <w:num w:numId="22">
    <w:abstractNumId w:val="10"/>
  </w:num>
  <w:num w:numId="23">
    <w:abstractNumId w:val="1"/>
  </w:num>
  <w:num w:numId="24">
    <w:abstractNumId w:val="3"/>
  </w:num>
  <w:num w:numId="25">
    <w:abstractNumId w:val="8"/>
  </w:num>
  <w:num w:numId="26">
    <w:abstractNumId w:val="13"/>
  </w:num>
  <w:num w:numId="27">
    <w:abstractNumId w:val="19"/>
  </w:num>
  <w:num w:numId="28">
    <w:abstractNumId w:val="22"/>
  </w:num>
  <w:num w:numId="29">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grammar="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7B1D"/>
    <w:rsid w:val="00002CC0"/>
    <w:rsid w:val="000335A7"/>
    <w:rsid w:val="000472BC"/>
    <w:rsid w:val="0007155C"/>
    <w:rsid w:val="00090854"/>
    <w:rsid w:val="000A3B56"/>
    <w:rsid w:val="000D3E88"/>
    <w:rsid w:val="00142ED0"/>
    <w:rsid w:val="00181482"/>
    <w:rsid w:val="001C4F2C"/>
    <w:rsid w:val="00225C93"/>
    <w:rsid w:val="002731D5"/>
    <w:rsid w:val="0028194E"/>
    <w:rsid w:val="0028265B"/>
    <w:rsid w:val="00287B1D"/>
    <w:rsid w:val="002B5EC5"/>
    <w:rsid w:val="002C6C60"/>
    <w:rsid w:val="002C73D2"/>
    <w:rsid w:val="002D2B28"/>
    <w:rsid w:val="002D2C97"/>
    <w:rsid w:val="002E6F85"/>
    <w:rsid w:val="00325B3C"/>
    <w:rsid w:val="003A0E99"/>
    <w:rsid w:val="003C05FC"/>
    <w:rsid w:val="00446ABA"/>
    <w:rsid w:val="00482E3B"/>
    <w:rsid w:val="004F4C43"/>
    <w:rsid w:val="0052510F"/>
    <w:rsid w:val="00533470"/>
    <w:rsid w:val="00544F0A"/>
    <w:rsid w:val="005470D9"/>
    <w:rsid w:val="0055174A"/>
    <w:rsid w:val="00572CB0"/>
    <w:rsid w:val="005968AB"/>
    <w:rsid w:val="00607786"/>
    <w:rsid w:val="00693219"/>
    <w:rsid w:val="00697831"/>
    <w:rsid w:val="006A54C9"/>
    <w:rsid w:val="00766381"/>
    <w:rsid w:val="007D3570"/>
    <w:rsid w:val="007D48C1"/>
    <w:rsid w:val="007F1092"/>
    <w:rsid w:val="00951E6A"/>
    <w:rsid w:val="00986038"/>
    <w:rsid w:val="009C104D"/>
    <w:rsid w:val="00A92C1D"/>
    <w:rsid w:val="00AB7D93"/>
    <w:rsid w:val="00B90837"/>
    <w:rsid w:val="00BA4A34"/>
    <w:rsid w:val="00BB6CB9"/>
    <w:rsid w:val="00BB7A9C"/>
    <w:rsid w:val="00BC063E"/>
    <w:rsid w:val="00BE43BA"/>
    <w:rsid w:val="00C301C0"/>
    <w:rsid w:val="00C4231E"/>
    <w:rsid w:val="00C430F0"/>
    <w:rsid w:val="00C951A0"/>
    <w:rsid w:val="00CD7CA6"/>
    <w:rsid w:val="00CE263B"/>
    <w:rsid w:val="00D204D8"/>
    <w:rsid w:val="00D26632"/>
    <w:rsid w:val="00D9597F"/>
    <w:rsid w:val="00DA32DD"/>
    <w:rsid w:val="00DA44D0"/>
    <w:rsid w:val="00E12D0A"/>
    <w:rsid w:val="00E736E8"/>
    <w:rsid w:val="00E84026"/>
    <w:rsid w:val="00F2616D"/>
    <w:rsid w:val="00F70417"/>
    <w:rsid w:val="00FE0A2F"/>
    <w:rsid w:val="00FE7B3A"/>
  </w:rsids>
  <m:mathPr>
    <m:mathFont m:val="Cambria Math"/>
    <m:brkBin m:val="before"/>
    <m:brkBinSub m:val="--"/>
    <m:smallFrac m:val="0"/>
    <m:dispDef/>
    <m:lMargin m:val="0"/>
    <m:rMargin m:val="0"/>
    <m:defJc m:val="centerGroup"/>
    <m:wrapIndent m:val="1440"/>
    <m:intLim m:val="subSup"/>
    <m:naryLim m:val="undOvr"/>
  </m:mathPr>
  <w:themeFontLang w:val="cs-CZ" w:eastAsia="" w:bidi=""/>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0F1D06"/>
    <w:pPr>
      <w:spacing w:after="200" w:line="276" w:lineRule="auto"/>
    </w:pPr>
    <w:rPr>
      <w:rFonts w:ascii="Verdana" w:hAnsi="Verdana"/>
    </w:rPr>
  </w:style>
  <w:style w:type="paragraph" w:styleId="Nadpis2">
    <w:name w:val="heading 2"/>
    <w:basedOn w:val="Normln"/>
    <w:link w:val="Nadpis2Char"/>
    <w:uiPriority w:val="9"/>
    <w:qFormat/>
    <w:rsid w:val="00535EE6"/>
    <w:pPr>
      <w:spacing w:beforeAutospacing="1" w:afterAutospacing="1" w:line="240" w:lineRule="auto"/>
      <w:outlineLvl w:val="1"/>
    </w:pPr>
    <w:rPr>
      <w:rFonts w:ascii="Times New Roman" w:eastAsia="Times New Roman" w:hAnsi="Times New Roman" w:cs="Times New Roman"/>
      <w:b/>
      <w:bCs/>
      <w:sz w:val="36"/>
      <w:szCs w:val="36"/>
      <w:lang w:eastAsia="cs-CZ"/>
    </w:rPr>
  </w:style>
  <w:style w:type="paragraph" w:styleId="Nadpis3">
    <w:name w:val="heading 3"/>
    <w:basedOn w:val="Normln"/>
    <w:next w:val="Normln"/>
    <w:link w:val="Nadpis3Char"/>
    <w:uiPriority w:val="9"/>
    <w:semiHidden/>
    <w:unhideWhenUsed/>
    <w:qFormat/>
    <w:rsid w:val="004A04CE"/>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ZhlavChar">
    <w:name w:val="Záhlaví Char"/>
    <w:basedOn w:val="Standardnpsmoodstavce"/>
    <w:link w:val="Zhlav"/>
    <w:uiPriority w:val="99"/>
    <w:qFormat/>
    <w:rsid w:val="006A6E6E"/>
  </w:style>
  <w:style w:type="character" w:customStyle="1" w:styleId="ZpatChar">
    <w:name w:val="Zápatí Char"/>
    <w:basedOn w:val="Standardnpsmoodstavce"/>
    <w:link w:val="Zpat"/>
    <w:uiPriority w:val="99"/>
    <w:qFormat/>
    <w:rsid w:val="006A6E6E"/>
  </w:style>
  <w:style w:type="character" w:customStyle="1" w:styleId="TextbublinyChar">
    <w:name w:val="Text bubliny Char"/>
    <w:basedOn w:val="Standardnpsmoodstavce"/>
    <w:link w:val="Textbubliny"/>
    <w:uiPriority w:val="99"/>
    <w:semiHidden/>
    <w:qFormat/>
    <w:rsid w:val="00083F75"/>
    <w:rPr>
      <w:rFonts w:ascii="Tahoma" w:hAnsi="Tahoma" w:cs="Tahoma"/>
      <w:sz w:val="16"/>
      <w:szCs w:val="16"/>
    </w:rPr>
  </w:style>
  <w:style w:type="character" w:customStyle="1" w:styleId="Internetovodkaz">
    <w:name w:val="Internetový odkaz"/>
    <w:basedOn w:val="Standardnpsmoodstavce"/>
    <w:uiPriority w:val="99"/>
    <w:unhideWhenUsed/>
    <w:rsid w:val="00A76925"/>
    <w:rPr>
      <w:color w:val="0000FF" w:themeColor="hyperlink"/>
      <w:u w:val="single"/>
    </w:rPr>
  </w:style>
  <w:style w:type="character" w:customStyle="1" w:styleId="Zkladntext">
    <w:name w:val="Základní text_"/>
    <w:basedOn w:val="Standardnpsmoodstavce"/>
    <w:link w:val="Zkladntext5"/>
    <w:qFormat/>
    <w:rsid w:val="00922E10"/>
    <w:rPr>
      <w:rFonts w:ascii="Verdana" w:eastAsia="Verdana" w:hAnsi="Verdana" w:cs="Verdana"/>
      <w:sz w:val="21"/>
      <w:szCs w:val="21"/>
      <w:shd w:val="clear" w:color="auto" w:fill="FFFFFF"/>
    </w:rPr>
  </w:style>
  <w:style w:type="character" w:styleId="Siln">
    <w:name w:val="Strong"/>
    <w:basedOn w:val="Standardnpsmoodstavce"/>
    <w:uiPriority w:val="22"/>
    <w:qFormat/>
    <w:rsid w:val="00531320"/>
    <w:rPr>
      <w:b/>
      <w:bCs/>
    </w:rPr>
  </w:style>
  <w:style w:type="character" w:customStyle="1" w:styleId="CittChar">
    <w:name w:val="Citát Char"/>
    <w:basedOn w:val="Standardnpsmoodstavce"/>
    <w:link w:val="Citt"/>
    <w:uiPriority w:val="29"/>
    <w:qFormat/>
    <w:rsid w:val="000B6C01"/>
    <w:rPr>
      <w:rFonts w:ascii="Verdana" w:hAnsi="Verdana"/>
      <w:i/>
      <w:iCs/>
      <w:color w:val="000000" w:themeColor="text1"/>
    </w:rPr>
  </w:style>
  <w:style w:type="character" w:customStyle="1" w:styleId="Zdraznn">
    <w:name w:val="Zdůraznění"/>
    <w:basedOn w:val="Standardnpsmoodstavce"/>
    <w:uiPriority w:val="20"/>
    <w:qFormat/>
    <w:rsid w:val="00454069"/>
    <w:rPr>
      <w:i/>
      <w:iCs/>
    </w:rPr>
  </w:style>
  <w:style w:type="character" w:customStyle="1" w:styleId="Navtveninternetovodkaz">
    <w:name w:val="Navštívený internetový odkaz"/>
    <w:basedOn w:val="Standardnpsmoodstavce"/>
    <w:uiPriority w:val="99"/>
    <w:semiHidden/>
    <w:unhideWhenUsed/>
    <w:rsid w:val="00807EEC"/>
    <w:rPr>
      <w:color w:val="800080"/>
      <w:u w:val="single"/>
    </w:rPr>
  </w:style>
  <w:style w:type="character" w:customStyle="1" w:styleId="Nadpis2Char">
    <w:name w:val="Nadpis 2 Char"/>
    <w:basedOn w:val="Standardnpsmoodstavce"/>
    <w:link w:val="Nadpis2"/>
    <w:uiPriority w:val="9"/>
    <w:qFormat/>
    <w:rsid w:val="00535EE6"/>
    <w:rPr>
      <w:rFonts w:ascii="Times New Roman" w:eastAsia="Times New Roman" w:hAnsi="Times New Roman" w:cs="Times New Roman"/>
      <w:b/>
      <w:bCs/>
      <w:sz w:val="36"/>
      <w:szCs w:val="36"/>
      <w:lang w:eastAsia="cs-CZ"/>
    </w:rPr>
  </w:style>
  <w:style w:type="character" w:customStyle="1" w:styleId="Nadpis3Char">
    <w:name w:val="Nadpis 3 Char"/>
    <w:basedOn w:val="Standardnpsmoodstavce"/>
    <w:link w:val="Nadpis3"/>
    <w:uiPriority w:val="9"/>
    <w:semiHidden/>
    <w:qFormat/>
    <w:rsid w:val="004A04CE"/>
    <w:rPr>
      <w:rFonts w:asciiTheme="majorHAnsi" w:eastAsiaTheme="majorEastAsia" w:hAnsiTheme="majorHAnsi" w:cstheme="majorBidi"/>
      <w:b/>
      <w:bCs/>
      <w:color w:val="4F81BD" w:themeColor="accent1"/>
    </w:rPr>
  </w:style>
  <w:style w:type="paragraph" w:customStyle="1" w:styleId="Nadpis">
    <w:name w:val="Nadpis"/>
    <w:basedOn w:val="Normln"/>
    <w:next w:val="Zkladntext0"/>
    <w:qFormat/>
    <w:pPr>
      <w:keepNext/>
      <w:spacing w:before="240" w:after="120"/>
    </w:pPr>
    <w:rPr>
      <w:rFonts w:ascii="Liberation Sans" w:eastAsia="Noto Sans CJK SC" w:hAnsi="Liberation Sans" w:cs="Lohit Devanagari"/>
      <w:sz w:val="28"/>
      <w:szCs w:val="28"/>
    </w:rPr>
  </w:style>
  <w:style w:type="paragraph" w:styleId="Zkladntext0">
    <w:name w:val="Body Text"/>
    <w:basedOn w:val="Normln"/>
    <w:pPr>
      <w:spacing w:after="140"/>
    </w:pPr>
  </w:style>
  <w:style w:type="paragraph" w:styleId="Seznam">
    <w:name w:val="List"/>
    <w:basedOn w:val="Zkladntext0"/>
    <w:rPr>
      <w:rFonts w:cs="Lohit Devanagari"/>
    </w:rPr>
  </w:style>
  <w:style w:type="paragraph" w:styleId="Titulek">
    <w:name w:val="caption"/>
    <w:basedOn w:val="Normln"/>
    <w:qFormat/>
    <w:pPr>
      <w:suppressLineNumbers/>
      <w:spacing w:before="120" w:after="120"/>
    </w:pPr>
    <w:rPr>
      <w:rFonts w:cs="Lohit Devanagari"/>
      <w:i/>
      <w:iCs/>
      <w:sz w:val="24"/>
      <w:szCs w:val="24"/>
    </w:rPr>
  </w:style>
  <w:style w:type="paragraph" w:customStyle="1" w:styleId="Rejstk">
    <w:name w:val="Rejstřík"/>
    <w:basedOn w:val="Normln"/>
    <w:qFormat/>
    <w:pPr>
      <w:suppressLineNumbers/>
    </w:pPr>
    <w:rPr>
      <w:rFonts w:cs="Lohit Devanagari"/>
    </w:rPr>
  </w:style>
  <w:style w:type="paragraph" w:customStyle="1" w:styleId="Zhlavazpat">
    <w:name w:val="Záhlaví a zápatí"/>
    <w:basedOn w:val="Normln"/>
    <w:qFormat/>
  </w:style>
  <w:style w:type="paragraph" w:styleId="Zhlav">
    <w:name w:val="header"/>
    <w:basedOn w:val="Normln"/>
    <w:link w:val="ZhlavChar"/>
    <w:uiPriority w:val="99"/>
    <w:unhideWhenUsed/>
    <w:rsid w:val="006A6E6E"/>
    <w:pPr>
      <w:tabs>
        <w:tab w:val="center" w:pos="4536"/>
        <w:tab w:val="right" w:pos="9072"/>
      </w:tabs>
      <w:spacing w:after="0" w:line="240" w:lineRule="auto"/>
    </w:pPr>
  </w:style>
  <w:style w:type="paragraph" w:styleId="Zpat">
    <w:name w:val="footer"/>
    <w:basedOn w:val="Normln"/>
    <w:link w:val="ZpatChar"/>
    <w:uiPriority w:val="99"/>
    <w:unhideWhenUsed/>
    <w:rsid w:val="006A6E6E"/>
    <w:pPr>
      <w:tabs>
        <w:tab w:val="center" w:pos="4536"/>
        <w:tab w:val="right" w:pos="9072"/>
      </w:tabs>
      <w:spacing w:after="0" w:line="240" w:lineRule="auto"/>
    </w:pPr>
  </w:style>
  <w:style w:type="paragraph" w:styleId="Bezmezer">
    <w:name w:val="No Spacing"/>
    <w:uiPriority w:val="1"/>
    <w:qFormat/>
    <w:rsid w:val="00A76925"/>
    <w:rPr>
      <w:rFonts w:ascii="Verdana" w:hAnsi="Verdana"/>
      <w:sz w:val="18"/>
    </w:rPr>
  </w:style>
  <w:style w:type="paragraph" w:styleId="Textbubliny">
    <w:name w:val="Balloon Text"/>
    <w:basedOn w:val="Normln"/>
    <w:link w:val="TextbublinyChar"/>
    <w:uiPriority w:val="99"/>
    <w:semiHidden/>
    <w:unhideWhenUsed/>
    <w:qFormat/>
    <w:rsid w:val="00083F75"/>
    <w:pPr>
      <w:spacing w:after="0" w:line="240" w:lineRule="auto"/>
    </w:pPr>
    <w:rPr>
      <w:rFonts w:ascii="Tahoma" w:hAnsi="Tahoma" w:cs="Tahoma"/>
      <w:sz w:val="16"/>
      <w:szCs w:val="16"/>
    </w:rPr>
  </w:style>
  <w:style w:type="paragraph" w:styleId="Odstavecseseznamem">
    <w:name w:val="List Paragraph"/>
    <w:basedOn w:val="Normln"/>
    <w:uiPriority w:val="34"/>
    <w:qFormat/>
    <w:rsid w:val="00DA3232"/>
    <w:pPr>
      <w:ind w:left="720"/>
      <w:contextualSpacing/>
    </w:pPr>
  </w:style>
  <w:style w:type="paragraph" w:customStyle="1" w:styleId="Standard">
    <w:name w:val="Standard"/>
    <w:qFormat/>
    <w:rsid w:val="004A3F9C"/>
    <w:pPr>
      <w:widowControl w:val="0"/>
      <w:textAlignment w:val="baseline"/>
    </w:pPr>
    <w:rPr>
      <w:rFonts w:ascii="Times New Roman" w:eastAsia="Arial Unicode MS" w:hAnsi="Times New Roman" w:cs="Mangal"/>
      <w:kern w:val="2"/>
      <w:sz w:val="24"/>
      <w:szCs w:val="24"/>
      <w:lang w:eastAsia="zh-CN" w:bidi="hi-IN"/>
    </w:rPr>
  </w:style>
  <w:style w:type="paragraph" w:customStyle="1" w:styleId="Zkladntext5">
    <w:name w:val="Základní text5"/>
    <w:basedOn w:val="Normln"/>
    <w:link w:val="Zkladntext"/>
    <w:qFormat/>
    <w:rsid w:val="00922E10"/>
    <w:pPr>
      <w:shd w:val="clear" w:color="auto" w:fill="FFFFFF"/>
      <w:spacing w:after="0" w:line="509" w:lineRule="exact"/>
      <w:ind w:hanging="380"/>
    </w:pPr>
    <w:rPr>
      <w:rFonts w:eastAsia="Verdana" w:cs="Verdana"/>
      <w:sz w:val="21"/>
      <w:szCs w:val="21"/>
    </w:rPr>
  </w:style>
  <w:style w:type="paragraph" w:styleId="Normlnweb">
    <w:name w:val="Normal (Web)"/>
    <w:basedOn w:val="Normln"/>
    <w:uiPriority w:val="99"/>
    <w:unhideWhenUsed/>
    <w:qFormat/>
    <w:rsid w:val="005204D7"/>
    <w:pPr>
      <w:spacing w:beforeAutospacing="1" w:afterAutospacing="1" w:line="240" w:lineRule="auto"/>
    </w:pPr>
    <w:rPr>
      <w:rFonts w:ascii="Times New Roman" w:eastAsia="Times New Roman" w:hAnsi="Times New Roman" w:cs="Times New Roman"/>
      <w:sz w:val="24"/>
      <w:szCs w:val="24"/>
      <w:lang w:eastAsia="cs-CZ"/>
    </w:rPr>
  </w:style>
  <w:style w:type="paragraph" w:styleId="Citt">
    <w:name w:val="Quote"/>
    <w:basedOn w:val="Normln"/>
    <w:next w:val="Normln"/>
    <w:link w:val="CittChar"/>
    <w:uiPriority w:val="29"/>
    <w:qFormat/>
    <w:rsid w:val="000B6C01"/>
    <w:rPr>
      <w:i/>
      <w:iCs/>
      <w:color w:val="000000" w:themeColor="text1"/>
    </w:rPr>
  </w:style>
  <w:style w:type="paragraph" w:customStyle="1" w:styleId="font5">
    <w:name w:val="font5"/>
    <w:basedOn w:val="Normln"/>
    <w:qFormat/>
    <w:rsid w:val="00807EEC"/>
    <w:pPr>
      <w:spacing w:beforeAutospacing="1" w:afterAutospacing="1" w:line="240" w:lineRule="auto"/>
    </w:pPr>
    <w:rPr>
      <w:rFonts w:ascii="Calibri" w:eastAsia="Times New Roman" w:hAnsi="Calibri" w:cs="Calibri"/>
      <w:b/>
      <w:bCs/>
      <w:color w:val="000000"/>
      <w:sz w:val="12"/>
      <w:szCs w:val="12"/>
      <w:lang w:val="en-GB" w:eastAsia="en-GB"/>
    </w:rPr>
  </w:style>
  <w:style w:type="paragraph" w:customStyle="1" w:styleId="font6">
    <w:name w:val="font6"/>
    <w:basedOn w:val="Normln"/>
    <w:qFormat/>
    <w:rsid w:val="00807EEC"/>
    <w:pPr>
      <w:spacing w:beforeAutospacing="1" w:afterAutospacing="1" w:line="240" w:lineRule="auto"/>
    </w:pPr>
    <w:rPr>
      <w:rFonts w:ascii="Calibri" w:eastAsia="Times New Roman" w:hAnsi="Calibri" w:cs="Calibri"/>
      <w:color w:val="000000"/>
      <w:sz w:val="12"/>
      <w:szCs w:val="12"/>
      <w:lang w:val="en-GB" w:eastAsia="en-GB"/>
    </w:rPr>
  </w:style>
  <w:style w:type="paragraph" w:customStyle="1" w:styleId="font7">
    <w:name w:val="font7"/>
    <w:basedOn w:val="Normln"/>
    <w:qFormat/>
    <w:rsid w:val="00807EEC"/>
    <w:pPr>
      <w:spacing w:beforeAutospacing="1" w:afterAutospacing="1" w:line="240" w:lineRule="auto"/>
    </w:pPr>
    <w:rPr>
      <w:rFonts w:ascii="Calibri" w:eastAsia="Times New Roman" w:hAnsi="Calibri" w:cs="Calibri"/>
      <w:color w:val="000000"/>
      <w:sz w:val="12"/>
      <w:szCs w:val="12"/>
      <w:lang w:val="en-GB" w:eastAsia="en-GB"/>
    </w:rPr>
  </w:style>
  <w:style w:type="paragraph" w:customStyle="1" w:styleId="font8">
    <w:name w:val="font8"/>
    <w:basedOn w:val="Normln"/>
    <w:qFormat/>
    <w:rsid w:val="00807EEC"/>
    <w:pPr>
      <w:spacing w:beforeAutospacing="1" w:afterAutospacing="1" w:line="240" w:lineRule="auto"/>
    </w:pPr>
    <w:rPr>
      <w:rFonts w:ascii="Calibri" w:eastAsia="Times New Roman" w:hAnsi="Calibri" w:cs="Calibri"/>
      <w:b/>
      <w:bCs/>
      <w:color w:val="000000"/>
      <w:sz w:val="12"/>
      <w:szCs w:val="12"/>
      <w:lang w:val="en-GB" w:eastAsia="en-GB"/>
    </w:rPr>
  </w:style>
  <w:style w:type="paragraph" w:customStyle="1" w:styleId="font9">
    <w:name w:val="font9"/>
    <w:basedOn w:val="Normln"/>
    <w:qFormat/>
    <w:rsid w:val="00807EEC"/>
    <w:pPr>
      <w:spacing w:beforeAutospacing="1" w:afterAutospacing="1" w:line="240" w:lineRule="auto"/>
    </w:pPr>
    <w:rPr>
      <w:rFonts w:ascii="Calibri" w:eastAsia="Times New Roman" w:hAnsi="Calibri" w:cs="Calibri"/>
      <w:color w:val="373A3C"/>
      <w:sz w:val="12"/>
      <w:szCs w:val="12"/>
      <w:lang w:val="en-GB" w:eastAsia="en-GB"/>
    </w:rPr>
  </w:style>
  <w:style w:type="paragraph" w:customStyle="1" w:styleId="font10">
    <w:name w:val="font10"/>
    <w:basedOn w:val="Normln"/>
    <w:qFormat/>
    <w:rsid w:val="00807EEC"/>
    <w:pPr>
      <w:spacing w:beforeAutospacing="1" w:afterAutospacing="1" w:line="240" w:lineRule="auto"/>
    </w:pPr>
    <w:rPr>
      <w:rFonts w:ascii="Calibri" w:eastAsia="Times New Roman" w:hAnsi="Calibri" w:cs="Calibri"/>
      <w:color w:val="373A3C"/>
      <w:sz w:val="12"/>
      <w:szCs w:val="12"/>
      <w:lang w:val="en-GB" w:eastAsia="en-GB"/>
    </w:rPr>
  </w:style>
  <w:style w:type="paragraph" w:customStyle="1" w:styleId="font11">
    <w:name w:val="font11"/>
    <w:basedOn w:val="Normln"/>
    <w:qFormat/>
    <w:rsid w:val="00807EEC"/>
    <w:pPr>
      <w:spacing w:beforeAutospacing="1" w:afterAutospacing="1" w:line="240" w:lineRule="auto"/>
    </w:pPr>
    <w:rPr>
      <w:rFonts w:ascii="Calibri" w:eastAsia="Times New Roman" w:hAnsi="Calibri" w:cs="Calibri"/>
      <w:color w:val="202124"/>
      <w:sz w:val="12"/>
      <w:szCs w:val="12"/>
      <w:lang w:val="en-GB" w:eastAsia="en-GB"/>
    </w:rPr>
  </w:style>
  <w:style w:type="paragraph" w:customStyle="1" w:styleId="font12">
    <w:name w:val="font12"/>
    <w:basedOn w:val="Normln"/>
    <w:qFormat/>
    <w:rsid w:val="00807EEC"/>
    <w:pPr>
      <w:spacing w:beforeAutospacing="1" w:afterAutospacing="1" w:line="240" w:lineRule="auto"/>
    </w:pPr>
    <w:rPr>
      <w:rFonts w:ascii="Calibri" w:eastAsia="Times New Roman" w:hAnsi="Calibri" w:cs="Calibri"/>
      <w:color w:val="202124"/>
      <w:sz w:val="12"/>
      <w:szCs w:val="12"/>
      <w:lang w:val="en-GB" w:eastAsia="en-GB"/>
    </w:rPr>
  </w:style>
  <w:style w:type="paragraph" w:customStyle="1" w:styleId="font13">
    <w:name w:val="font13"/>
    <w:basedOn w:val="Normln"/>
    <w:qFormat/>
    <w:rsid w:val="00807EEC"/>
    <w:pPr>
      <w:spacing w:beforeAutospacing="1" w:afterAutospacing="1" w:line="240" w:lineRule="auto"/>
    </w:pPr>
    <w:rPr>
      <w:rFonts w:ascii="Calibri" w:eastAsia="Times New Roman" w:hAnsi="Calibri" w:cs="Calibri"/>
      <w:color w:val="202124"/>
      <w:sz w:val="12"/>
      <w:szCs w:val="12"/>
      <w:lang w:val="en-GB" w:eastAsia="en-GB"/>
    </w:rPr>
  </w:style>
  <w:style w:type="paragraph" w:customStyle="1" w:styleId="xl130">
    <w:name w:val="xl130"/>
    <w:basedOn w:val="Normln"/>
    <w:qFormat/>
    <w:rsid w:val="00807EEC"/>
    <w:pPr>
      <w:pBdr>
        <w:top w:val="single" w:sz="4" w:space="0" w:color="000000"/>
        <w:left w:val="single" w:sz="4" w:space="0" w:color="000000"/>
        <w:bottom w:val="single" w:sz="4" w:space="0" w:color="000000"/>
        <w:right w:val="single" w:sz="4" w:space="0" w:color="000000"/>
      </w:pBdr>
      <w:shd w:val="clear" w:color="000000" w:fill="B8CCE4"/>
      <w:spacing w:beforeAutospacing="1" w:afterAutospacing="1" w:line="240" w:lineRule="auto"/>
      <w:jc w:val="center"/>
      <w:textAlignment w:val="center"/>
    </w:pPr>
    <w:rPr>
      <w:rFonts w:ascii="Times New Roman" w:eastAsia="Times New Roman" w:hAnsi="Times New Roman" w:cs="Times New Roman"/>
      <w:b/>
      <w:bCs/>
      <w:sz w:val="12"/>
      <w:szCs w:val="12"/>
      <w:lang w:val="en-GB" w:eastAsia="en-GB"/>
    </w:rPr>
  </w:style>
  <w:style w:type="paragraph" w:customStyle="1" w:styleId="xl131">
    <w:name w:val="xl131"/>
    <w:basedOn w:val="Normln"/>
    <w:qFormat/>
    <w:rsid w:val="00807EEC"/>
    <w:pPr>
      <w:pBdr>
        <w:top w:val="single" w:sz="4" w:space="0" w:color="000000"/>
        <w:left w:val="single" w:sz="4" w:space="0" w:color="000000"/>
        <w:right w:val="single" w:sz="4" w:space="0" w:color="000000"/>
      </w:pBdr>
      <w:shd w:val="clear" w:color="000000" w:fill="B8CCE4"/>
      <w:spacing w:beforeAutospacing="1" w:afterAutospacing="1" w:line="240" w:lineRule="auto"/>
      <w:jc w:val="center"/>
      <w:textAlignment w:val="center"/>
    </w:pPr>
    <w:rPr>
      <w:rFonts w:ascii="Times New Roman" w:eastAsia="Times New Roman" w:hAnsi="Times New Roman" w:cs="Times New Roman"/>
      <w:b/>
      <w:bCs/>
      <w:sz w:val="12"/>
      <w:szCs w:val="12"/>
      <w:lang w:val="en-GB" w:eastAsia="en-GB"/>
    </w:rPr>
  </w:style>
  <w:style w:type="paragraph" w:customStyle="1" w:styleId="xl132">
    <w:name w:val="xl132"/>
    <w:basedOn w:val="Normln"/>
    <w:qFormat/>
    <w:rsid w:val="00807EEC"/>
    <w:pPr>
      <w:pBdr>
        <w:top w:val="single" w:sz="4" w:space="0" w:color="000000"/>
        <w:left w:val="single" w:sz="4" w:space="0" w:color="000000"/>
        <w:bottom w:val="single" w:sz="4" w:space="0" w:color="000000"/>
        <w:right w:val="single" w:sz="4" w:space="0" w:color="000000"/>
      </w:pBdr>
      <w:shd w:val="clear" w:color="000000" w:fill="B8CCE4"/>
      <w:spacing w:beforeAutospacing="1" w:afterAutospacing="1" w:line="240" w:lineRule="auto"/>
      <w:jc w:val="center"/>
      <w:textAlignment w:val="center"/>
    </w:pPr>
    <w:rPr>
      <w:rFonts w:ascii="Times New Roman" w:eastAsia="Times New Roman" w:hAnsi="Times New Roman" w:cs="Times New Roman"/>
      <w:b/>
      <w:bCs/>
      <w:sz w:val="12"/>
      <w:szCs w:val="12"/>
      <w:lang w:val="en-GB" w:eastAsia="en-GB"/>
    </w:rPr>
  </w:style>
  <w:style w:type="paragraph" w:customStyle="1" w:styleId="xl133">
    <w:name w:val="xl133"/>
    <w:basedOn w:val="Normln"/>
    <w:qFormat/>
    <w:rsid w:val="00807EEC"/>
    <w:pPr>
      <w:pBdr>
        <w:top w:val="single" w:sz="4" w:space="0" w:color="000000"/>
        <w:left w:val="single" w:sz="4" w:space="0" w:color="000000"/>
        <w:bottom w:val="single" w:sz="4" w:space="0" w:color="000000"/>
      </w:pBdr>
      <w:shd w:val="clear" w:color="000000" w:fill="B8CCE4"/>
      <w:spacing w:beforeAutospacing="1" w:afterAutospacing="1" w:line="240" w:lineRule="auto"/>
      <w:jc w:val="center"/>
      <w:textAlignment w:val="center"/>
    </w:pPr>
    <w:rPr>
      <w:rFonts w:ascii="Times New Roman" w:eastAsia="Times New Roman" w:hAnsi="Times New Roman" w:cs="Times New Roman"/>
      <w:b/>
      <w:bCs/>
      <w:sz w:val="12"/>
      <w:szCs w:val="12"/>
      <w:lang w:val="en-GB" w:eastAsia="en-GB"/>
    </w:rPr>
  </w:style>
  <w:style w:type="paragraph" w:customStyle="1" w:styleId="xl134">
    <w:name w:val="xl134"/>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b/>
      <w:bCs/>
      <w:sz w:val="12"/>
      <w:szCs w:val="12"/>
      <w:lang w:val="en-GB" w:eastAsia="en-GB"/>
    </w:rPr>
  </w:style>
  <w:style w:type="paragraph" w:customStyle="1" w:styleId="xl135">
    <w:name w:val="xl135"/>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FF0000"/>
      <w:sz w:val="12"/>
      <w:szCs w:val="12"/>
      <w:lang w:val="en-GB" w:eastAsia="en-GB"/>
    </w:rPr>
  </w:style>
  <w:style w:type="paragraph" w:customStyle="1" w:styleId="xl136">
    <w:name w:val="xl136"/>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b/>
      <w:bCs/>
      <w:color w:val="FF0000"/>
      <w:sz w:val="12"/>
      <w:szCs w:val="12"/>
      <w:lang w:val="en-GB" w:eastAsia="en-GB"/>
    </w:rPr>
  </w:style>
  <w:style w:type="paragraph" w:customStyle="1" w:styleId="xl137">
    <w:name w:val="xl137"/>
    <w:basedOn w:val="Normln"/>
    <w:qFormat/>
    <w:rsid w:val="00807EEC"/>
    <w:pPr>
      <w:pBdr>
        <w:top w:val="single" w:sz="4" w:space="0" w:color="000000"/>
        <w:left w:val="single" w:sz="4" w:space="0" w:color="000000"/>
        <w:bottom w:val="single" w:sz="4" w:space="0" w:color="000000"/>
        <w:right w:val="single" w:sz="12"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FF0000"/>
      <w:sz w:val="12"/>
      <w:szCs w:val="12"/>
      <w:lang w:val="en-GB" w:eastAsia="en-GB"/>
    </w:rPr>
  </w:style>
  <w:style w:type="paragraph" w:customStyle="1" w:styleId="xl138">
    <w:name w:val="xl138"/>
    <w:basedOn w:val="Normln"/>
    <w:qFormat/>
    <w:rsid w:val="00807EEC"/>
    <w:pPr>
      <w:pBdr>
        <w:top w:val="single" w:sz="12" w:space="0" w:color="000000"/>
        <w:bottom w:val="single" w:sz="4" w:space="0" w:color="000000"/>
        <w:right w:val="single" w:sz="12"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FF0000"/>
      <w:sz w:val="12"/>
      <w:szCs w:val="12"/>
      <w:lang w:val="en-GB" w:eastAsia="en-GB"/>
    </w:rPr>
  </w:style>
  <w:style w:type="paragraph" w:customStyle="1" w:styleId="xl139">
    <w:name w:val="xl139"/>
    <w:basedOn w:val="Normln"/>
    <w:qFormat/>
    <w:rsid w:val="00807EEC"/>
    <w:pPr>
      <w:pBdr>
        <w:top w:val="single" w:sz="4" w:space="0" w:color="000000"/>
        <w:bottom w:val="single" w:sz="4" w:space="0" w:color="000000"/>
        <w:right w:val="single" w:sz="4" w:space="0" w:color="000000"/>
      </w:pBdr>
      <w:shd w:val="clear" w:color="000000" w:fill="FFFFFF"/>
      <w:spacing w:beforeAutospacing="1" w:afterAutospacing="1" w:line="240" w:lineRule="auto"/>
      <w:jc w:val="center"/>
    </w:pPr>
    <w:rPr>
      <w:rFonts w:ascii="Times New Roman" w:eastAsia="Times New Roman" w:hAnsi="Times New Roman" w:cs="Times New Roman"/>
      <w:b/>
      <w:bCs/>
      <w:color w:val="FF0000"/>
      <w:sz w:val="12"/>
      <w:szCs w:val="12"/>
      <w:lang w:val="en-GB" w:eastAsia="en-GB"/>
    </w:rPr>
  </w:style>
  <w:style w:type="paragraph" w:customStyle="1" w:styleId="xl140">
    <w:name w:val="xl140"/>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jc w:val="center"/>
      <w:textAlignment w:val="center"/>
    </w:pPr>
    <w:rPr>
      <w:rFonts w:ascii="Times New Roman" w:eastAsia="Times New Roman" w:hAnsi="Times New Roman" w:cs="Times New Roman"/>
      <w:b/>
      <w:bCs/>
      <w:color w:val="FF0000"/>
      <w:sz w:val="12"/>
      <w:szCs w:val="12"/>
      <w:lang w:val="en-GB" w:eastAsia="en-GB"/>
    </w:rPr>
  </w:style>
  <w:style w:type="paragraph" w:customStyle="1" w:styleId="xl141">
    <w:name w:val="xl141"/>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jc w:val="center"/>
    </w:pPr>
    <w:rPr>
      <w:rFonts w:ascii="Times New Roman" w:eastAsia="Times New Roman" w:hAnsi="Times New Roman" w:cs="Times New Roman"/>
      <w:b/>
      <w:bCs/>
      <w:color w:val="FF0000"/>
      <w:sz w:val="12"/>
      <w:szCs w:val="12"/>
      <w:lang w:val="en-GB" w:eastAsia="en-GB"/>
    </w:rPr>
  </w:style>
  <w:style w:type="paragraph" w:customStyle="1" w:styleId="xl142">
    <w:name w:val="xl142"/>
    <w:basedOn w:val="Normln"/>
    <w:qFormat/>
    <w:rsid w:val="00807EEC"/>
    <w:pPr>
      <w:pBdr>
        <w:top w:val="single" w:sz="4" w:space="0" w:color="000000"/>
        <w:left w:val="single" w:sz="4" w:space="0" w:color="000000"/>
        <w:bottom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FF0000"/>
      <w:sz w:val="12"/>
      <w:szCs w:val="12"/>
      <w:lang w:val="en-GB" w:eastAsia="en-GB"/>
    </w:rPr>
  </w:style>
  <w:style w:type="paragraph" w:customStyle="1" w:styleId="xl143">
    <w:name w:val="xl143"/>
    <w:basedOn w:val="Normln"/>
    <w:qFormat/>
    <w:rsid w:val="00807EEC"/>
    <w:pPr>
      <w:pBdr>
        <w:top w:val="single" w:sz="4" w:space="0" w:color="000000"/>
        <w:left w:val="single" w:sz="12" w:space="0" w:color="000000"/>
        <w:bottom w:val="single" w:sz="4" w:space="0" w:color="000000"/>
        <w:right w:val="single" w:sz="12"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FF0000"/>
      <w:sz w:val="12"/>
      <w:szCs w:val="12"/>
      <w:lang w:val="en-GB" w:eastAsia="en-GB"/>
    </w:rPr>
  </w:style>
  <w:style w:type="paragraph" w:customStyle="1" w:styleId="xl144">
    <w:name w:val="xl144"/>
    <w:basedOn w:val="Normln"/>
    <w:qFormat/>
    <w:rsid w:val="00807EEC"/>
    <w:pPr>
      <w:pBdr>
        <w:top w:val="single" w:sz="4" w:space="0" w:color="000000"/>
        <w:left w:val="single" w:sz="12" w:space="0" w:color="000000"/>
        <w:bottom w:val="single" w:sz="4" w:space="0" w:color="000000"/>
        <w:right w:val="single" w:sz="4" w:space="0" w:color="000000"/>
      </w:pBdr>
      <w:shd w:val="clear" w:color="000000" w:fill="FFFFFF"/>
      <w:spacing w:beforeAutospacing="1" w:afterAutospacing="1" w:line="240" w:lineRule="auto"/>
      <w:jc w:val="center"/>
    </w:pPr>
    <w:rPr>
      <w:rFonts w:ascii="Times New Roman" w:eastAsia="Times New Roman" w:hAnsi="Times New Roman" w:cs="Times New Roman"/>
      <w:b/>
      <w:bCs/>
      <w:color w:val="FF0000"/>
      <w:sz w:val="12"/>
      <w:szCs w:val="12"/>
      <w:lang w:val="en-GB" w:eastAsia="en-GB"/>
    </w:rPr>
  </w:style>
  <w:style w:type="paragraph" w:customStyle="1" w:styleId="xl145">
    <w:name w:val="xl145"/>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1F497D"/>
      <w:sz w:val="12"/>
      <w:szCs w:val="12"/>
      <w:lang w:val="en-GB" w:eastAsia="en-GB"/>
    </w:rPr>
  </w:style>
  <w:style w:type="paragraph" w:customStyle="1" w:styleId="xl146">
    <w:name w:val="xl146"/>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b/>
      <w:bCs/>
      <w:color w:val="1F497D"/>
      <w:sz w:val="12"/>
      <w:szCs w:val="12"/>
      <w:lang w:val="en-GB" w:eastAsia="en-GB"/>
    </w:rPr>
  </w:style>
  <w:style w:type="paragraph" w:customStyle="1" w:styleId="xl147">
    <w:name w:val="xl147"/>
    <w:basedOn w:val="Normln"/>
    <w:qFormat/>
    <w:rsid w:val="00807EEC"/>
    <w:pPr>
      <w:pBdr>
        <w:top w:val="single" w:sz="4" w:space="0" w:color="000000"/>
        <w:left w:val="single" w:sz="4" w:space="0" w:color="000000"/>
        <w:bottom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1F497D"/>
      <w:sz w:val="12"/>
      <w:szCs w:val="12"/>
      <w:lang w:val="en-GB" w:eastAsia="en-GB"/>
    </w:rPr>
  </w:style>
  <w:style w:type="paragraph" w:customStyle="1" w:styleId="xl148">
    <w:name w:val="xl148"/>
    <w:basedOn w:val="Normln"/>
    <w:qFormat/>
    <w:rsid w:val="00807EEC"/>
    <w:pPr>
      <w:pBdr>
        <w:top w:val="single" w:sz="4" w:space="0" w:color="000000"/>
        <w:left w:val="single" w:sz="12" w:space="0" w:color="000000"/>
        <w:bottom w:val="single" w:sz="4" w:space="0" w:color="000000"/>
        <w:right w:val="single" w:sz="12"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1F497D"/>
      <w:sz w:val="12"/>
      <w:szCs w:val="12"/>
      <w:lang w:val="en-GB" w:eastAsia="en-GB"/>
    </w:rPr>
  </w:style>
  <w:style w:type="paragraph" w:customStyle="1" w:styleId="xl149">
    <w:name w:val="xl149"/>
    <w:basedOn w:val="Normln"/>
    <w:qFormat/>
    <w:rsid w:val="00807EEC"/>
    <w:pPr>
      <w:pBdr>
        <w:top w:val="single" w:sz="4" w:space="0" w:color="000000"/>
        <w:bottom w:val="single" w:sz="4" w:space="0" w:color="000000"/>
        <w:right w:val="single" w:sz="4" w:space="0" w:color="000000"/>
      </w:pBdr>
      <w:shd w:val="clear" w:color="000000" w:fill="FFFFFF"/>
      <w:spacing w:beforeAutospacing="1" w:afterAutospacing="1" w:line="240" w:lineRule="auto"/>
      <w:jc w:val="center"/>
    </w:pPr>
    <w:rPr>
      <w:rFonts w:ascii="Times New Roman" w:eastAsia="Times New Roman" w:hAnsi="Times New Roman" w:cs="Times New Roman"/>
      <w:b/>
      <w:bCs/>
      <w:color w:val="1F497D"/>
      <w:sz w:val="12"/>
      <w:szCs w:val="12"/>
      <w:lang w:val="en-GB" w:eastAsia="en-GB"/>
    </w:rPr>
  </w:style>
  <w:style w:type="paragraph" w:customStyle="1" w:styleId="xl150">
    <w:name w:val="xl150"/>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jc w:val="center"/>
      <w:textAlignment w:val="center"/>
    </w:pPr>
    <w:rPr>
      <w:rFonts w:ascii="Times New Roman" w:eastAsia="Times New Roman" w:hAnsi="Times New Roman" w:cs="Times New Roman"/>
      <w:b/>
      <w:bCs/>
      <w:color w:val="1F497D"/>
      <w:sz w:val="12"/>
      <w:szCs w:val="12"/>
      <w:lang w:val="en-GB" w:eastAsia="en-GB"/>
    </w:rPr>
  </w:style>
  <w:style w:type="paragraph" w:customStyle="1" w:styleId="xl151">
    <w:name w:val="xl151"/>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jc w:val="center"/>
    </w:pPr>
    <w:rPr>
      <w:rFonts w:ascii="Times New Roman" w:eastAsia="Times New Roman" w:hAnsi="Times New Roman" w:cs="Times New Roman"/>
      <w:b/>
      <w:bCs/>
      <w:color w:val="1F497D"/>
      <w:sz w:val="12"/>
      <w:szCs w:val="12"/>
      <w:lang w:val="en-GB" w:eastAsia="en-GB"/>
    </w:rPr>
  </w:style>
  <w:style w:type="paragraph" w:customStyle="1" w:styleId="xl152">
    <w:name w:val="xl152"/>
    <w:basedOn w:val="Normln"/>
    <w:qFormat/>
    <w:rsid w:val="00807EEC"/>
    <w:pPr>
      <w:pBdr>
        <w:top w:val="single" w:sz="4" w:space="0" w:color="000000"/>
        <w:left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1F497D"/>
      <w:sz w:val="12"/>
      <w:szCs w:val="12"/>
      <w:lang w:val="en-GB" w:eastAsia="en-GB"/>
    </w:rPr>
  </w:style>
  <w:style w:type="paragraph" w:customStyle="1" w:styleId="xl153">
    <w:name w:val="xl153"/>
    <w:basedOn w:val="Normln"/>
    <w:qFormat/>
    <w:rsid w:val="00807EEC"/>
    <w:pPr>
      <w:pBdr>
        <w:top w:val="single" w:sz="4" w:space="0" w:color="000000"/>
        <w:left w:val="single" w:sz="4" w:space="0" w:color="000000"/>
        <w:bottom w:val="single" w:sz="4" w:space="0" w:color="000000"/>
        <w:right w:val="single" w:sz="12"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1F497D"/>
      <w:sz w:val="12"/>
      <w:szCs w:val="12"/>
      <w:lang w:val="en-GB" w:eastAsia="en-GB"/>
    </w:rPr>
  </w:style>
  <w:style w:type="paragraph" w:customStyle="1" w:styleId="xl154">
    <w:name w:val="xl154"/>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00B050"/>
      <w:sz w:val="12"/>
      <w:szCs w:val="12"/>
      <w:lang w:val="en-GB" w:eastAsia="en-GB"/>
    </w:rPr>
  </w:style>
  <w:style w:type="paragraph" w:customStyle="1" w:styleId="xl155">
    <w:name w:val="xl155"/>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b/>
      <w:bCs/>
      <w:color w:val="00B050"/>
      <w:sz w:val="12"/>
      <w:szCs w:val="12"/>
      <w:lang w:val="en-GB" w:eastAsia="en-GB"/>
    </w:rPr>
  </w:style>
  <w:style w:type="paragraph" w:customStyle="1" w:styleId="xl156">
    <w:name w:val="xl156"/>
    <w:basedOn w:val="Normln"/>
    <w:qFormat/>
    <w:rsid w:val="00807EEC"/>
    <w:pPr>
      <w:pBdr>
        <w:top w:val="single" w:sz="4" w:space="0" w:color="000000"/>
        <w:left w:val="single" w:sz="4" w:space="0" w:color="000000"/>
        <w:bottom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00B050"/>
      <w:sz w:val="12"/>
      <w:szCs w:val="12"/>
      <w:lang w:val="en-GB" w:eastAsia="en-GB"/>
    </w:rPr>
  </w:style>
  <w:style w:type="paragraph" w:customStyle="1" w:styleId="xl157">
    <w:name w:val="xl157"/>
    <w:basedOn w:val="Normln"/>
    <w:qFormat/>
    <w:rsid w:val="00807EEC"/>
    <w:pPr>
      <w:pBdr>
        <w:top w:val="single" w:sz="4" w:space="0" w:color="000000"/>
        <w:left w:val="single" w:sz="12" w:space="0" w:color="000000"/>
        <w:bottom w:val="single" w:sz="4" w:space="0" w:color="000000"/>
        <w:right w:val="single" w:sz="12"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00B050"/>
      <w:sz w:val="12"/>
      <w:szCs w:val="12"/>
      <w:lang w:val="en-GB" w:eastAsia="en-GB"/>
    </w:rPr>
  </w:style>
  <w:style w:type="paragraph" w:customStyle="1" w:styleId="xl158">
    <w:name w:val="xl158"/>
    <w:basedOn w:val="Normln"/>
    <w:qFormat/>
    <w:rsid w:val="00807EEC"/>
    <w:pPr>
      <w:pBdr>
        <w:top w:val="single" w:sz="4" w:space="0" w:color="000000"/>
        <w:left w:val="single" w:sz="12" w:space="0" w:color="000000"/>
        <w:bottom w:val="single" w:sz="4" w:space="0" w:color="000000"/>
        <w:right w:val="single" w:sz="4" w:space="0" w:color="000000"/>
      </w:pBdr>
      <w:shd w:val="clear" w:color="000000" w:fill="FFFFFF"/>
      <w:spacing w:beforeAutospacing="1" w:afterAutospacing="1" w:line="240" w:lineRule="auto"/>
      <w:jc w:val="center"/>
    </w:pPr>
    <w:rPr>
      <w:rFonts w:ascii="Times New Roman" w:eastAsia="Times New Roman" w:hAnsi="Times New Roman" w:cs="Times New Roman"/>
      <w:b/>
      <w:bCs/>
      <w:color w:val="00B050"/>
      <w:sz w:val="12"/>
      <w:szCs w:val="12"/>
      <w:lang w:val="en-GB" w:eastAsia="en-GB"/>
    </w:rPr>
  </w:style>
  <w:style w:type="paragraph" w:customStyle="1" w:styleId="xl159">
    <w:name w:val="xl159"/>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jc w:val="center"/>
      <w:textAlignment w:val="center"/>
    </w:pPr>
    <w:rPr>
      <w:rFonts w:ascii="Times New Roman" w:eastAsia="Times New Roman" w:hAnsi="Times New Roman" w:cs="Times New Roman"/>
      <w:b/>
      <w:bCs/>
      <w:color w:val="00B050"/>
      <w:sz w:val="12"/>
      <w:szCs w:val="12"/>
      <w:lang w:val="en-GB" w:eastAsia="en-GB"/>
    </w:rPr>
  </w:style>
  <w:style w:type="paragraph" w:customStyle="1" w:styleId="xl160">
    <w:name w:val="xl160"/>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jc w:val="center"/>
    </w:pPr>
    <w:rPr>
      <w:rFonts w:ascii="Times New Roman" w:eastAsia="Times New Roman" w:hAnsi="Times New Roman" w:cs="Times New Roman"/>
      <w:b/>
      <w:bCs/>
      <w:color w:val="00B050"/>
      <w:sz w:val="12"/>
      <w:szCs w:val="12"/>
      <w:lang w:val="en-GB" w:eastAsia="en-GB"/>
    </w:rPr>
  </w:style>
  <w:style w:type="paragraph" w:customStyle="1" w:styleId="xl161">
    <w:name w:val="xl161"/>
    <w:basedOn w:val="Normln"/>
    <w:qFormat/>
    <w:rsid w:val="00807EEC"/>
    <w:pPr>
      <w:pBdr>
        <w:top w:val="single" w:sz="4" w:space="0" w:color="000000"/>
        <w:left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00B050"/>
      <w:sz w:val="12"/>
      <w:szCs w:val="12"/>
      <w:lang w:val="en-GB" w:eastAsia="en-GB"/>
    </w:rPr>
  </w:style>
  <w:style w:type="paragraph" w:customStyle="1" w:styleId="xl162">
    <w:name w:val="xl162"/>
    <w:basedOn w:val="Normln"/>
    <w:qFormat/>
    <w:rsid w:val="00807EEC"/>
    <w:pPr>
      <w:pBdr>
        <w:top w:val="single" w:sz="4" w:space="0" w:color="000000"/>
        <w:left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b/>
      <w:bCs/>
      <w:color w:val="00B050"/>
      <w:sz w:val="12"/>
      <w:szCs w:val="12"/>
      <w:lang w:val="en-GB" w:eastAsia="en-GB"/>
    </w:rPr>
  </w:style>
  <w:style w:type="paragraph" w:customStyle="1" w:styleId="xl163">
    <w:name w:val="xl163"/>
    <w:basedOn w:val="Normln"/>
    <w:qFormat/>
    <w:rsid w:val="00807EEC"/>
    <w:pPr>
      <w:pBdr>
        <w:top w:val="single" w:sz="4" w:space="0" w:color="000000"/>
        <w:lef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00B050"/>
      <w:sz w:val="12"/>
      <w:szCs w:val="12"/>
      <w:lang w:val="en-GB" w:eastAsia="en-GB"/>
    </w:rPr>
  </w:style>
  <w:style w:type="paragraph" w:customStyle="1" w:styleId="xl164">
    <w:name w:val="xl164"/>
    <w:basedOn w:val="Normln"/>
    <w:qFormat/>
    <w:rsid w:val="00807EEC"/>
    <w:pPr>
      <w:pBdr>
        <w:top w:val="single" w:sz="4" w:space="0" w:color="000000"/>
        <w:left w:val="single" w:sz="12" w:space="0" w:color="000000"/>
        <w:bottom w:val="single" w:sz="12" w:space="0" w:color="000000"/>
        <w:right w:val="single" w:sz="12"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00B050"/>
      <w:sz w:val="12"/>
      <w:szCs w:val="12"/>
      <w:lang w:val="en-GB" w:eastAsia="en-GB"/>
    </w:rPr>
  </w:style>
  <w:style w:type="paragraph" w:customStyle="1" w:styleId="xl165">
    <w:name w:val="xl165"/>
    <w:basedOn w:val="Normln"/>
    <w:qFormat/>
    <w:rsid w:val="00807EEC"/>
    <w:pPr>
      <w:pBdr>
        <w:top w:val="single" w:sz="4" w:space="0" w:color="000000"/>
        <w:left w:val="single" w:sz="12" w:space="0" w:color="000000"/>
        <w:bottom w:val="single" w:sz="8" w:space="0" w:color="000000"/>
        <w:right w:val="single" w:sz="4" w:space="0" w:color="000000"/>
      </w:pBdr>
      <w:shd w:val="clear" w:color="000000" w:fill="FFFFFF"/>
      <w:spacing w:beforeAutospacing="1" w:afterAutospacing="1" w:line="240" w:lineRule="auto"/>
      <w:jc w:val="center"/>
    </w:pPr>
    <w:rPr>
      <w:rFonts w:ascii="Times New Roman" w:eastAsia="Times New Roman" w:hAnsi="Times New Roman" w:cs="Times New Roman"/>
      <w:b/>
      <w:bCs/>
      <w:color w:val="00B050"/>
      <w:sz w:val="12"/>
      <w:szCs w:val="12"/>
      <w:lang w:val="en-GB" w:eastAsia="en-GB"/>
    </w:rPr>
  </w:style>
  <w:style w:type="paragraph" w:customStyle="1" w:styleId="xl166">
    <w:name w:val="xl166"/>
    <w:basedOn w:val="Normln"/>
    <w:qFormat/>
    <w:rsid w:val="00807EEC"/>
    <w:pPr>
      <w:pBdr>
        <w:top w:val="single" w:sz="4" w:space="0" w:color="000000"/>
        <w:left w:val="single" w:sz="4" w:space="0" w:color="000000"/>
        <w:right w:val="single" w:sz="4" w:space="0" w:color="000000"/>
      </w:pBdr>
      <w:shd w:val="clear" w:color="000000" w:fill="FFFFFF"/>
      <w:spacing w:beforeAutospacing="1" w:afterAutospacing="1" w:line="240" w:lineRule="auto"/>
      <w:jc w:val="center"/>
      <w:textAlignment w:val="center"/>
    </w:pPr>
    <w:rPr>
      <w:rFonts w:ascii="Times New Roman" w:eastAsia="Times New Roman" w:hAnsi="Times New Roman" w:cs="Times New Roman"/>
      <w:b/>
      <w:bCs/>
      <w:color w:val="00B050"/>
      <w:sz w:val="12"/>
      <w:szCs w:val="12"/>
      <w:lang w:val="en-GB" w:eastAsia="en-GB"/>
    </w:rPr>
  </w:style>
  <w:style w:type="paragraph" w:customStyle="1" w:styleId="xl167">
    <w:name w:val="xl167"/>
    <w:basedOn w:val="Normln"/>
    <w:qFormat/>
    <w:rsid w:val="00807EEC"/>
    <w:pPr>
      <w:pBdr>
        <w:top w:val="single" w:sz="4" w:space="0" w:color="000000"/>
        <w:left w:val="single" w:sz="4" w:space="0" w:color="000000"/>
        <w:bottom w:val="single" w:sz="8" w:space="0" w:color="000000"/>
        <w:right w:val="single" w:sz="4" w:space="0" w:color="000000"/>
      </w:pBdr>
      <w:shd w:val="clear" w:color="000000" w:fill="FFFFFF"/>
      <w:spacing w:beforeAutospacing="1" w:afterAutospacing="1" w:line="240" w:lineRule="auto"/>
      <w:jc w:val="center"/>
    </w:pPr>
    <w:rPr>
      <w:rFonts w:ascii="Times New Roman" w:eastAsia="Times New Roman" w:hAnsi="Times New Roman" w:cs="Times New Roman"/>
      <w:b/>
      <w:bCs/>
      <w:color w:val="00B050"/>
      <w:sz w:val="12"/>
      <w:szCs w:val="12"/>
      <w:lang w:val="en-GB" w:eastAsia="en-GB"/>
    </w:rPr>
  </w:style>
  <w:style w:type="paragraph" w:customStyle="1" w:styleId="xl168">
    <w:name w:val="xl168"/>
    <w:basedOn w:val="Normln"/>
    <w:qFormat/>
    <w:rsid w:val="00807EEC"/>
    <w:pPr>
      <w:pBdr>
        <w:top w:val="single" w:sz="8" w:space="0" w:color="000000"/>
        <w:left w:val="single" w:sz="4" w:space="0" w:color="000000"/>
        <w:bottom w:val="single" w:sz="8"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69">
    <w:name w:val="xl169"/>
    <w:basedOn w:val="Normln"/>
    <w:qFormat/>
    <w:rsid w:val="00807EEC"/>
    <w:pPr>
      <w:pBdr>
        <w:top w:val="single" w:sz="8" w:space="0" w:color="000000"/>
        <w:left w:val="single" w:sz="4" w:space="0" w:color="000000"/>
        <w:bottom w:val="single" w:sz="8" w:space="0" w:color="000000"/>
      </w:pBdr>
      <w:spacing w:beforeAutospacing="1" w:afterAutospacing="1" w:line="240" w:lineRule="auto"/>
      <w:textAlignment w:val="center"/>
    </w:pPr>
    <w:rPr>
      <w:rFonts w:ascii="Times New Roman" w:eastAsia="Times New Roman" w:hAnsi="Times New Roman" w:cs="Times New Roman"/>
      <w:color w:val="000000"/>
      <w:sz w:val="12"/>
      <w:szCs w:val="12"/>
      <w:lang w:val="en-GB" w:eastAsia="en-GB"/>
    </w:rPr>
  </w:style>
  <w:style w:type="paragraph" w:customStyle="1" w:styleId="xl170">
    <w:name w:val="xl170"/>
    <w:basedOn w:val="Normln"/>
    <w:qFormat/>
    <w:rsid w:val="00807EEC"/>
    <w:pPr>
      <w:pBdr>
        <w:top w:val="single" w:sz="8" w:space="0" w:color="000000"/>
        <w:bottom w:val="single" w:sz="8"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71">
    <w:name w:val="xl171"/>
    <w:basedOn w:val="Normln"/>
    <w:qFormat/>
    <w:rsid w:val="00807EEC"/>
    <w:pPr>
      <w:pBdr>
        <w:right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72">
    <w:name w:val="xl172"/>
    <w:basedOn w:val="Normln"/>
    <w:qFormat/>
    <w:rsid w:val="00807EEC"/>
    <w:pPr>
      <w:pBdr>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73">
    <w:name w:val="xl173"/>
    <w:basedOn w:val="Normln"/>
    <w:qFormat/>
    <w:rsid w:val="00807EEC"/>
    <w:pPr>
      <w:pBdr>
        <w:top w:val="single" w:sz="8"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74">
    <w:name w:val="xl174"/>
    <w:basedOn w:val="Normln"/>
    <w:qFormat/>
    <w:rsid w:val="00807EEC"/>
    <w:pPr>
      <w:pBdr>
        <w:top w:val="single" w:sz="8" w:space="0" w:color="000000"/>
        <w:lef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75">
    <w:name w:val="xl175"/>
    <w:basedOn w:val="Normln"/>
    <w:qFormat/>
    <w:rsid w:val="00807EEC"/>
    <w:pPr>
      <w:pBdr>
        <w:top w:val="single" w:sz="8" w:space="0" w:color="000000"/>
        <w:bottom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76">
    <w:name w:val="xl176"/>
    <w:basedOn w:val="Normln"/>
    <w:qFormat/>
    <w:rsid w:val="00807EEC"/>
    <w:pPr>
      <w:pBdr>
        <w:top w:val="single" w:sz="8" w:space="0" w:color="000000"/>
        <w:bottom w:val="single" w:sz="4" w:space="0" w:color="000000"/>
        <w:right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77">
    <w:name w:val="xl177"/>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78">
    <w:name w:val="xl178"/>
    <w:basedOn w:val="Normln"/>
    <w:qFormat/>
    <w:rsid w:val="00807EEC"/>
    <w:pPr>
      <w:pBdr>
        <w:top w:val="single" w:sz="4" w:space="0" w:color="000000"/>
        <w:lef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79">
    <w:name w:val="xl179"/>
    <w:basedOn w:val="Normln"/>
    <w:qFormat/>
    <w:rsid w:val="00807EEC"/>
    <w:pPr>
      <w:pBdr>
        <w:top w:val="single" w:sz="4" w:space="0" w:color="000000"/>
        <w:bottom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80">
    <w:name w:val="xl180"/>
    <w:basedOn w:val="Normln"/>
    <w:qFormat/>
    <w:rsid w:val="00807EEC"/>
    <w:pPr>
      <w:pBdr>
        <w:top w:val="single" w:sz="4" w:space="0" w:color="000000"/>
        <w:bottom w:val="single" w:sz="4" w:space="0" w:color="000000"/>
        <w:right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81">
    <w:name w:val="xl181"/>
    <w:basedOn w:val="Normln"/>
    <w:qFormat/>
    <w:rsid w:val="00807EEC"/>
    <w:pPr>
      <w:pBdr>
        <w:top w:val="single" w:sz="4" w:space="0" w:color="000000"/>
        <w:left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82">
    <w:name w:val="xl182"/>
    <w:basedOn w:val="Normln"/>
    <w:qFormat/>
    <w:rsid w:val="00807EEC"/>
    <w:pPr>
      <w:pBdr>
        <w:top w:val="single" w:sz="4" w:space="0" w:color="000000"/>
        <w:left w:val="single" w:sz="4" w:space="0" w:color="000000"/>
        <w:bottom w:val="single" w:sz="8"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83">
    <w:name w:val="xl183"/>
    <w:basedOn w:val="Normln"/>
    <w:qFormat/>
    <w:rsid w:val="00807EEC"/>
    <w:pPr>
      <w:pBdr>
        <w:top w:val="single" w:sz="4" w:space="0" w:color="000000"/>
        <w:left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84">
    <w:name w:val="xl184"/>
    <w:basedOn w:val="Normln"/>
    <w:qFormat/>
    <w:rsid w:val="00807EEC"/>
    <w:pPr>
      <w:pBdr>
        <w:top w:val="single" w:sz="4" w:space="0" w:color="000000"/>
        <w:bottom w:val="single" w:sz="8"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85">
    <w:name w:val="xl185"/>
    <w:basedOn w:val="Normln"/>
    <w:qFormat/>
    <w:rsid w:val="00807EEC"/>
    <w:pPr>
      <w:pBdr>
        <w:top w:val="single" w:sz="4" w:space="0" w:color="000000"/>
        <w:bottom w:val="single" w:sz="8" w:space="0" w:color="000000"/>
        <w:right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86">
    <w:name w:val="xl186"/>
    <w:basedOn w:val="Normln"/>
    <w:qFormat/>
    <w:rsid w:val="00807EEC"/>
    <w:pPr>
      <w:pBdr>
        <w:top w:val="single" w:sz="8" w:space="0" w:color="000000"/>
        <w:left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87">
    <w:name w:val="xl187"/>
    <w:basedOn w:val="Normln"/>
    <w:qFormat/>
    <w:rsid w:val="00807EEC"/>
    <w:pPr>
      <w:pBdr>
        <w:bottom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88">
    <w:name w:val="xl188"/>
    <w:basedOn w:val="Normln"/>
    <w:qFormat/>
    <w:rsid w:val="00807EEC"/>
    <w:pPr>
      <w:pBdr>
        <w:top w:val="single" w:sz="4" w:space="0" w:color="000000"/>
        <w:left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89">
    <w:name w:val="xl189"/>
    <w:basedOn w:val="Normln"/>
    <w:qFormat/>
    <w:rsid w:val="00807EEC"/>
    <w:pPr>
      <w:pBdr>
        <w:top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90">
    <w:name w:val="xl190"/>
    <w:basedOn w:val="Normln"/>
    <w:qFormat/>
    <w:rsid w:val="00807EEC"/>
    <w:pPr>
      <w:pBdr>
        <w:top w:val="single" w:sz="4" w:space="0" w:color="000000"/>
        <w:lef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91">
    <w:name w:val="xl191"/>
    <w:basedOn w:val="Normln"/>
    <w:qFormat/>
    <w:rsid w:val="00807EEC"/>
    <w:pPr>
      <w:pBdr>
        <w:top w:val="single" w:sz="8" w:space="0" w:color="000000"/>
        <w:left w:val="single" w:sz="4" w:space="0" w:color="000000"/>
        <w:bottom w:val="single" w:sz="4" w:space="0" w:color="000000"/>
        <w:right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92">
    <w:name w:val="xl192"/>
    <w:basedOn w:val="Normln"/>
    <w:qFormat/>
    <w:rsid w:val="00807EEC"/>
    <w:pPr>
      <w:pBdr>
        <w:top w:val="single" w:sz="8" w:space="0" w:color="000000"/>
        <w:left w:val="single" w:sz="4" w:space="0" w:color="000000"/>
        <w:bottom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93">
    <w:name w:val="xl193"/>
    <w:basedOn w:val="Normln"/>
    <w:qFormat/>
    <w:rsid w:val="00807EEC"/>
    <w:pPr>
      <w:pBdr>
        <w:top w:val="single" w:sz="4" w:space="0" w:color="000000"/>
        <w:left w:val="single" w:sz="4" w:space="0" w:color="000000"/>
        <w:bottom w:val="single" w:sz="4" w:space="0" w:color="000000"/>
        <w:right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b/>
      <w:bCs/>
      <w:sz w:val="12"/>
      <w:szCs w:val="12"/>
      <w:lang w:val="en-GB" w:eastAsia="en-GB"/>
    </w:rPr>
  </w:style>
  <w:style w:type="paragraph" w:customStyle="1" w:styleId="xl194">
    <w:name w:val="xl194"/>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95">
    <w:name w:val="xl195"/>
    <w:basedOn w:val="Normln"/>
    <w:qFormat/>
    <w:rsid w:val="00807EEC"/>
    <w:pPr>
      <w:pBdr>
        <w:top w:val="single" w:sz="4" w:space="0" w:color="000000"/>
        <w:left w:val="single" w:sz="4" w:space="0" w:color="000000"/>
        <w:bottom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96">
    <w:name w:val="xl196"/>
    <w:basedOn w:val="Normln"/>
    <w:qFormat/>
    <w:rsid w:val="00807EEC"/>
    <w:pPr>
      <w:pBdr>
        <w:top w:val="single" w:sz="4" w:space="0" w:color="000000"/>
        <w:left w:val="single" w:sz="4" w:space="0" w:color="000000"/>
        <w:bottom w:val="single" w:sz="4" w:space="0" w:color="000000"/>
        <w:right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97">
    <w:name w:val="xl197"/>
    <w:basedOn w:val="Normln"/>
    <w:qFormat/>
    <w:rsid w:val="00807EEC"/>
    <w:pPr>
      <w:pBdr>
        <w:top w:val="single" w:sz="4" w:space="0" w:color="000000"/>
        <w:left w:val="single" w:sz="4" w:space="0" w:color="000000"/>
        <w:bottom w:val="single" w:sz="8" w:space="0" w:color="000000"/>
        <w:right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98">
    <w:name w:val="xl198"/>
    <w:basedOn w:val="Normln"/>
    <w:qFormat/>
    <w:rsid w:val="00807EEC"/>
    <w:pPr>
      <w:pBdr>
        <w:top w:val="single" w:sz="4" w:space="0" w:color="000000"/>
        <w:left w:val="single" w:sz="4" w:space="0" w:color="000000"/>
        <w:bottom w:val="single" w:sz="8"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99">
    <w:name w:val="xl199"/>
    <w:basedOn w:val="Normln"/>
    <w:qFormat/>
    <w:rsid w:val="00807EEC"/>
    <w:pPr>
      <w:pBdr>
        <w:left w:val="single" w:sz="4" w:space="0" w:color="000000"/>
        <w:bottom w:val="single" w:sz="4" w:space="0" w:color="000000"/>
        <w:right w:val="single" w:sz="4" w:space="0" w:color="000000"/>
      </w:pBdr>
      <w:shd w:val="clear" w:color="000000" w:fill="DCE6F1"/>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00">
    <w:name w:val="xl200"/>
    <w:basedOn w:val="Normln"/>
    <w:qFormat/>
    <w:rsid w:val="00807EEC"/>
    <w:pPr>
      <w:pBdr>
        <w:top w:val="single" w:sz="4" w:space="0" w:color="000000"/>
        <w:left w:val="single" w:sz="4" w:space="0" w:color="000000"/>
        <w:bottom w:val="single" w:sz="4" w:space="0" w:color="000000"/>
        <w:right w:val="single" w:sz="4" w:space="0" w:color="000000"/>
      </w:pBdr>
      <w:shd w:val="clear" w:color="000000" w:fill="DCE6F1"/>
      <w:spacing w:beforeAutospacing="1" w:afterAutospacing="1" w:line="240" w:lineRule="auto"/>
      <w:textAlignment w:val="center"/>
    </w:pPr>
    <w:rPr>
      <w:rFonts w:ascii="Times New Roman" w:eastAsia="Times New Roman" w:hAnsi="Times New Roman" w:cs="Times New Roman"/>
      <w:b/>
      <w:bCs/>
      <w:sz w:val="12"/>
      <w:szCs w:val="12"/>
      <w:lang w:val="en-GB" w:eastAsia="en-GB"/>
    </w:rPr>
  </w:style>
  <w:style w:type="paragraph" w:customStyle="1" w:styleId="xl201">
    <w:name w:val="xl201"/>
    <w:basedOn w:val="Normln"/>
    <w:qFormat/>
    <w:rsid w:val="00807EEC"/>
    <w:pPr>
      <w:pBdr>
        <w:top w:val="single" w:sz="4" w:space="0" w:color="000000"/>
        <w:left w:val="single" w:sz="4" w:space="0" w:color="000000"/>
        <w:bottom w:val="single" w:sz="4" w:space="0" w:color="000000"/>
        <w:right w:val="single" w:sz="4" w:space="0" w:color="000000"/>
      </w:pBdr>
      <w:shd w:val="clear" w:color="000000" w:fill="DCE6F1"/>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02">
    <w:name w:val="xl202"/>
    <w:basedOn w:val="Normln"/>
    <w:qFormat/>
    <w:rsid w:val="00807EEC"/>
    <w:pPr>
      <w:pBdr>
        <w:top w:val="single" w:sz="4" w:space="0" w:color="000000"/>
        <w:left w:val="single" w:sz="4" w:space="0" w:color="000000"/>
        <w:right w:val="single" w:sz="4" w:space="0" w:color="000000"/>
      </w:pBdr>
      <w:shd w:val="clear" w:color="000000" w:fill="DCE6F1"/>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03">
    <w:name w:val="xl203"/>
    <w:basedOn w:val="Normln"/>
    <w:qFormat/>
    <w:rsid w:val="00807EEC"/>
    <w:pPr>
      <w:pBdr>
        <w:top w:val="single" w:sz="4" w:space="0" w:color="000000"/>
        <w:left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04">
    <w:name w:val="xl204"/>
    <w:basedOn w:val="Normln"/>
    <w:qFormat/>
    <w:rsid w:val="00807EEC"/>
    <w:pPr>
      <w:pBdr>
        <w:top w:val="single" w:sz="8" w:space="0" w:color="000000"/>
        <w:left w:val="single" w:sz="4" w:space="0" w:color="000000"/>
        <w:bottom w:val="single" w:sz="4" w:space="0" w:color="000000"/>
        <w:right w:val="single" w:sz="4" w:space="0" w:color="000000"/>
      </w:pBdr>
      <w:shd w:val="clear" w:color="000000" w:fill="F2DCDB"/>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05">
    <w:name w:val="xl205"/>
    <w:basedOn w:val="Normln"/>
    <w:qFormat/>
    <w:rsid w:val="00807EEC"/>
    <w:pPr>
      <w:pBdr>
        <w:top w:val="single" w:sz="4" w:space="0" w:color="000000"/>
        <w:left w:val="single" w:sz="4" w:space="0" w:color="000000"/>
        <w:bottom w:val="single" w:sz="4" w:space="0" w:color="000000"/>
        <w:right w:val="single" w:sz="4" w:space="0" w:color="000000"/>
      </w:pBdr>
      <w:shd w:val="clear" w:color="000000" w:fill="F2DCDB"/>
      <w:spacing w:beforeAutospacing="1" w:afterAutospacing="1" w:line="240" w:lineRule="auto"/>
      <w:textAlignment w:val="center"/>
    </w:pPr>
    <w:rPr>
      <w:rFonts w:ascii="Times New Roman" w:eastAsia="Times New Roman" w:hAnsi="Times New Roman" w:cs="Times New Roman"/>
      <w:b/>
      <w:bCs/>
      <w:sz w:val="12"/>
      <w:szCs w:val="12"/>
      <w:lang w:val="en-GB" w:eastAsia="en-GB"/>
    </w:rPr>
  </w:style>
  <w:style w:type="paragraph" w:customStyle="1" w:styleId="xl206">
    <w:name w:val="xl206"/>
    <w:basedOn w:val="Normln"/>
    <w:qFormat/>
    <w:rsid w:val="00807EEC"/>
    <w:pPr>
      <w:pBdr>
        <w:top w:val="single" w:sz="4" w:space="0" w:color="000000"/>
        <w:left w:val="single" w:sz="4" w:space="0" w:color="000000"/>
        <w:bottom w:val="single" w:sz="4" w:space="0" w:color="000000"/>
        <w:right w:val="single" w:sz="4" w:space="0" w:color="000000"/>
      </w:pBdr>
      <w:shd w:val="clear" w:color="000000" w:fill="F2DCDB"/>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07">
    <w:name w:val="xl207"/>
    <w:basedOn w:val="Normln"/>
    <w:qFormat/>
    <w:rsid w:val="00807EEC"/>
    <w:pPr>
      <w:pBdr>
        <w:top w:val="single" w:sz="4" w:space="0" w:color="000000"/>
        <w:left w:val="single" w:sz="4" w:space="0" w:color="000000"/>
        <w:bottom w:val="single" w:sz="8" w:space="0" w:color="000000"/>
        <w:right w:val="single" w:sz="4" w:space="0" w:color="000000"/>
      </w:pBdr>
      <w:shd w:val="clear" w:color="000000" w:fill="F2DCDB"/>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08">
    <w:name w:val="xl208"/>
    <w:basedOn w:val="Normln"/>
    <w:qFormat/>
    <w:rsid w:val="00807EEC"/>
    <w:pPr>
      <w:pBdr>
        <w:left w:val="single" w:sz="4" w:space="0" w:color="000000"/>
        <w:bottom w:val="single" w:sz="4" w:space="0" w:color="000000"/>
        <w:right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09">
    <w:name w:val="xl209"/>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10">
    <w:name w:val="xl210"/>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11">
    <w:name w:val="xl211"/>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12">
    <w:name w:val="xl212"/>
    <w:basedOn w:val="Normln"/>
    <w:qFormat/>
    <w:rsid w:val="00807EEC"/>
    <w:pPr>
      <w:pBdr>
        <w:top w:val="single" w:sz="4" w:space="0" w:color="000000"/>
        <w:left w:val="single" w:sz="4" w:space="0" w:color="000000"/>
        <w:bottom w:val="single" w:sz="4" w:space="0" w:color="000000"/>
        <w:right w:val="single" w:sz="4" w:space="0" w:color="000000"/>
      </w:pBdr>
      <w:shd w:val="clear" w:color="000000" w:fill="FF0000"/>
      <w:spacing w:beforeAutospacing="1" w:afterAutospacing="1" w:line="240" w:lineRule="auto"/>
      <w:textAlignment w:val="center"/>
    </w:pPr>
    <w:rPr>
      <w:rFonts w:ascii="Times New Roman" w:eastAsia="Times New Roman" w:hAnsi="Times New Roman" w:cs="Times New Roman"/>
      <w:color w:val="FFFFFF"/>
      <w:sz w:val="12"/>
      <w:szCs w:val="12"/>
      <w:lang w:val="en-GB" w:eastAsia="en-GB"/>
    </w:rPr>
  </w:style>
  <w:style w:type="paragraph" w:customStyle="1" w:styleId="xl213">
    <w:name w:val="xl213"/>
    <w:basedOn w:val="Normln"/>
    <w:qFormat/>
    <w:rsid w:val="00807EEC"/>
    <w:pPr>
      <w:pBdr>
        <w:top w:val="single" w:sz="4" w:space="0" w:color="000000"/>
        <w:left w:val="single" w:sz="4" w:space="0" w:color="000000"/>
        <w:bottom w:val="single" w:sz="4" w:space="0" w:color="000000"/>
        <w:right w:val="single" w:sz="4" w:space="0" w:color="000000"/>
      </w:pBdr>
      <w:shd w:val="clear" w:color="000000" w:fill="EBF1DE"/>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14">
    <w:name w:val="xl214"/>
    <w:basedOn w:val="Normln"/>
    <w:qFormat/>
    <w:rsid w:val="00807EEC"/>
    <w:pPr>
      <w:pBdr>
        <w:top w:val="single" w:sz="4" w:space="0" w:color="000000"/>
        <w:left w:val="single" w:sz="4" w:space="0" w:color="000000"/>
        <w:bottom w:val="single" w:sz="4" w:space="0" w:color="000000"/>
        <w:right w:val="single" w:sz="4" w:space="0" w:color="000000"/>
      </w:pBdr>
      <w:shd w:val="clear" w:color="000000" w:fill="000000"/>
      <w:spacing w:beforeAutospacing="1" w:afterAutospacing="1" w:line="240" w:lineRule="auto"/>
    </w:pPr>
    <w:rPr>
      <w:rFonts w:ascii="Times New Roman" w:eastAsia="Times New Roman" w:hAnsi="Times New Roman" w:cs="Times New Roman"/>
      <w:color w:val="FFFFFF"/>
      <w:sz w:val="12"/>
      <w:szCs w:val="12"/>
      <w:lang w:val="en-GB" w:eastAsia="en-GB"/>
    </w:rPr>
  </w:style>
  <w:style w:type="paragraph" w:customStyle="1" w:styleId="xl215">
    <w:name w:val="xl215"/>
    <w:basedOn w:val="Normln"/>
    <w:qFormat/>
    <w:rsid w:val="00807EEC"/>
    <w:pPr>
      <w:pBdr>
        <w:top w:val="single" w:sz="4" w:space="0" w:color="000000"/>
        <w:left w:val="single" w:sz="4" w:space="0" w:color="000000"/>
        <w:bottom w:val="single" w:sz="4" w:space="0" w:color="000000"/>
        <w:right w:val="single" w:sz="4" w:space="0" w:color="000000"/>
      </w:pBdr>
      <w:shd w:val="clear" w:color="000000" w:fill="FFFF00"/>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16">
    <w:name w:val="xl216"/>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17">
    <w:name w:val="xl217"/>
    <w:basedOn w:val="Normln"/>
    <w:qFormat/>
    <w:rsid w:val="00807EEC"/>
    <w:pPr>
      <w:pBdr>
        <w:top w:val="single" w:sz="4" w:space="0" w:color="000000"/>
        <w:left w:val="single" w:sz="4" w:space="0" w:color="000000"/>
        <w:bottom w:val="single" w:sz="4" w:space="0" w:color="000000"/>
        <w:right w:val="single" w:sz="4" w:space="0" w:color="000000"/>
      </w:pBdr>
      <w:shd w:val="clear" w:color="000000" w:fill="0000FF"/>
      <w:spacing w:beforeAutospacing="1" w:afterAutospacing="1" w:line="240" w:lineRule="auto"/>
      <w:textAlignment w:val="center"/>
    </w:pPr>
    <w:rPr>
      <w:rFonts w:ascii="Times New Roman" w:eastAsia="Times New Roman" w:hAnsi="Times New Roman" w:cs="Times New Roman"/>
      <w:color w:val="FFFFFF"/>
      <w:sz w:val="12"/>
      <w:szCs w:val="12"/>
      <w:lang w:val="en-GB" w:eastAsia="en-GB"/>
    </w:rPr>
  </w:style>
  <w:style w:type="paragraph" w:customStyle="1" w:styleId="xl218">
    <w:name w:val="xl218"/>
    <w:basedOn w:val="Normln"/>
    <w:qFormat/>
    <w:rsid w:val="00807EEC"/>
    <w:pPr>
      <w:pBdr>
        <w:top w:val="single" w:sz="4" w:space="0" w:color="000000"/>
        <w:left w:val="single" w:sz="4" w:space="0" w:color="000000"/>
        <w:bottom w:val="single" w:sz="4" w:space="0" w:color="000000"/>
        <w:right w:val="single" w:sz="4" w:space="0" w:color="000000"/>
      </w:pBdr>
      <w:shd w:val="clear" w:color="000000" w:fill="D9D9D9"/>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19">
    <w:name w:val="xl219"/>
    <w:basedOn w:val="Normln"/>
    <w:qFormat/>
    <w:rsid w:val="00807EEC"/>
    <w:pPr>
      <w:pBdr>
        <w:top w:val="single" w:sz="4" w:space="0" w:color="000000"/>
        <w:left w:val="single" w:sz="4" w:space="0" w:color="000000"/>
        <w:bottom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20">
    <w:name w:val="xl220"/>
    <w:basedOn w:val="Normln"/>
    <w:qFormat/>
    <w:rsid w:val="00807EEC"/>
    <w:pPr>
      <w:pBdr>
        <w:top w:val="single" w:sz="4" w:space="0" w:color="000000"/>
        <w:bottom w:val="single" w:sz="4" w:space="0" w:color="000000"/>
        <w:right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21">
    <w:name w:val="xl221"/>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color w:val="000000"/>
      <w:sz w:val="12"/>
      <w:szCs w:val="12"/>
      <w:lang w:val="en-GB" w:eastAsia="en-GB"/>
    </w:rPr>
  </w:style>
  <w:style w:type="paragraph" w:customStyle="1" w:styleId="xl222">
    <w:name w:val="xl222"/>
    <w:basedOn w:val="Normln"/>
    <w:qFormat/>
    <w:rsid w:val="00807EEC"/>
    <w:pPr>
      <w:pBdr>
        <w:top w:val="single" w:sz="4" w:space="0" w:color="000000"/>
        <w:left w:val="single" w:sz="4" w:space="0" w:color="000000"/>
        <w:bottom w:val="single" w:sz="4" w:space="0" w:color="000000"/>
        <w:right w:val="single" w:sz="4" w:space="0" w:color="000000"/>
      </w:pBdr>
      <w:shd w:val="clear" w:color="000000" w:fill="FF0000"/>
      <w:spacing w:beforeAutospacing="1" w:afterAutospacing="1" w:line="240" w:lineRule="auto"/>
      <w:textAlignment w:val="center"/>
    </w:pPr>
    <w:rPr>
      <w:rFonts w:ascii="Times New Roman" w:eastAsia="Times New Roman" w:hAnsi="Times New Roman" w:cs="Times New Roman"/>
      <w:color w:val="FFFFFF"/>
      <w:sz w:val="12"/>
      <w:szCs w:val="12"/>
      <w:lang w:val="en-GB" w:eastAsia="en-GB"/>
    </w:rPr>
  </w:style>
  <w:style w:type="paragraph" w:customStyle="1" w:styleId="xl223">
    <w:name w:val="xl223"/>
    <w:basedOn w:val="Normln"/>
    <w:qFormat/>
    <w:rsid w:val="00807EEC"/>
    <w:pPr>
      <w:pBdr>
        <w:top w:val="single" w:sz="4" w:space="0" w:color="000000"/>
        <w:left w:val="single" w:sz="4" w:space="0" w:color="000000"/>
        <w:bottom w:val="single" w:sz="4" w:space="0" w:color="000000"/>
        <w:right w:val="single" w:sz="4" w:space="0" w:color="000000"/>
      </w:pBdr>
      <w:shd w:val="clear" w:color="000000" w:fill="000000"/>
      <w:spacing w:beforeAutospacing="1" w:afterAutospacing="1" w:line="240" w:lineRule="auto"/>
      <w:textAlignment w:val="center"/>
    </w:pPr>
    <w:rPr>
      <w:rFonts w:ascii="Times New Roman" w:eastAsia="Times New Roman" w:hAnsi="Times New Roman" w:cs="Times New Roman"/>
      <w:color w:val="FFFFFF"/>
      <w:sz w:val="12"/>
      <w:szCs w:val="12"/>
      <w:lang w:val="en-GB" w:eastAsia="en-GB"/>
    </w:rPr>
  </w:style>
  <w:style w:type="paragraph" w:customStyle="1" w:styleId="xl224">
    <w:name w:val="xl224"/>
    <w:basedOn w:val="Normln"/>
    <w:qFormat/>
    <w:rsid w:val="00807EEC"/>
    <w:pPr>
      <w:pBdr>
        <w:top w:val="single" w:sz="4" w:space="0" w:color="000000"/>
        <w:left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color w:val="000000"/>
      <w:sz w:val="12"/>
      <w:szCs w:val="12"/>
      <w:lang w:val="en-GB" w:eastAsia="en-GB"/>
    </w:rPr>
  </w:style>
  <w:style w:type="paragraph" w:customStyle="1" w:styleId="xl225">
    <w:name w:val="xl225"/>
    <w:basedOn w:val="Normln"/>
    <w:qFormat/>
    <w:rsid w:val="00807EEC"/>
    <w:pPr>
      <w:pBdr>
        <w:top w:val="single" w:sz="4" w:space="0" w:color="000000"/>
        <w:left w:val="single" w:sz="4" w:space="0" w:color="000000"/>
        <w:right w:val="single" w:sz="4" w:space="0" w:color="000000"/>
      </w:pBdr>
      <w:shd w:val="clear" w:color="000000" w:fill="0000FF"/>
      <w:spacing w:beforeAutospacing="1" w:afterAutospacing="1" w:line="240" w:lineRule="auto"/>
      <w:textAlignment w:val="center"/>
    </w:pPr>
    <w:rPr>
      <w:rFonts w:ascii="Times New Roman" w:eastAsia="Times New Roman" w:hAnsi="Times New Roman" w:cs="Times New Roman"/>
      <w:color w:val="FFFFFF"/>
      <w:sz w:val="12"/>
      <w:szCs w:val="12"/>
      <w:lang w:val="en-GB" w:eastAsia="en-GB"/>
    </w:rPr>
  </w:style>
  <w:style w:type="paragraph" w:customStyle="1" w:styleId="xl226">
    <w:name w:val="xl226"/>
    <w:basedOn w:val="Normln"/>
    <w:qFormat/>
    <w:rsid w:val="00807EEC"/>
    <w:pPr>
      <w:pBdr>
        <w:top w:val="single" w:sz="4" w:space="0" w:color="000000"/>
        <w:left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27">
    <w:name w:val="xl227"/>
    <w:basedOn w:val="Normln"/>
    <w:qFormat/>
    <w:rsid w:val="00807EEC"/>
    <w:pPr>
      <w:pBdr>
        <w:top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28">
    <w:name w:val="xl228"/>
    <w:basedOn w:val="Normln"/>
    <w:qFormat/>
    <w:rsid w:val="00807EEC"/>
    <w:pPr>
      <w:pBdr>
        <w:top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29">
    <w:name w:val="xl229"/>
    <w:basedOn w:val="Normln"/>
    <w:qFormat/>
    <w:rsid w:val="00807EEC"/>
    <w:pPr>
      <w:pBdr>
        <w:top w:val="single" w:sz="4" w:space="0" w:color="000000"/>
        <w:left w:val="single" w:sz="4" w:space="0" w:color="000000"/>
        <w:bottom w:val="single" w:sz="8"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0">
    <w:name w:val="xl230"/>
    <w:basedOn w:val="Normln"/>
    <w:qFormat/>
    <w:rsid w:val="00807EEC"/>
    <w:pPr>
      <w:pBdr>
        <w:top w:val="single" w:sz="4" w:space="0" w:color="000000"/>
        <w:bottom w:val="single" w:sz="8"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1">
    <w:name w:val="xl231"/>
    <w:basedOn w:val="Normln"/>
    <w:qFormat/>
    <w:rsid w:val="00807EEC"/>
    <w:pPr>
      <w:pBdr>
        <w:top w:val="single" w:sz="4" w:space="0" w:color="000000"/>
        <w:lef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2">
    <w:name w:val="xl232"/>
    <w:basedOn w:val="Normln"/>
    <w:qFormat/>
    <w:rsid w:val="00807EEC"/>
    <w:pPr>
      <w:pBdr>
        <w:top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3">
    <w:name w:val="xl233"/>
    <w:basedOn w:val="Normln"/>
    <w:qFormat/>
    <w:rsid w:val="00807EEC"/>
    <w:pPr>
      <w:pBdr>
        <w:top w:val="single" w:sz="4" w:space="0" w:color="000000"/>
        <w:left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4">
    <w:name w:val="xl234"/>
    <w:basedOn w:val="Normln"/>
    <w:qFormat/>
    <w:rsid w:val="00807EEC"/>
    <w:pPr>
      <w:pBdr>
        <w:top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5">
    <w:name w:val="xl235"/>
    <w:basedOn w:val="Normln"/>
    <w:qFormat/>
    <w:rsid w:val="00807EEC"/>
    <w:pPr>
      <w:pBdr>
        <w:top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6">
    <w:name w:val="xl236"/>
    <w:basedOn w:val="Normln"/>
    <w:qFormat/>
    <w:rsid w:val="00807EEC"/>
    <w:pPr>
      <w:pBdr>
        <w:top w:val="single" w:sz="4" w:space="0" w:color="000000"/>
        <w:left w:val="single" w:sz="4" w:space="0" w:color="000000"/>
        <w:bottom w:val="single" w:sz="4" w:space="0" w:color="000000"/>
        <w:right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7">
    <w:name w:val="xl237"/>
    <w:basedOn w:val="Normln"/>
    <w:qFormat/>
    <w:rsid w:val="00807EEC"/>
    <w:pPr>
      <w:pBdr>
        <w:top w:val="single" w:sz="4" w:space="0" w:color="000000"/>
        <w:left w:val="single" w:sz="4" w:space="0" w:color="000000"/>
        <w:bottom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8">
    <w:name w:val="xl238"/>
    <w:basedOn w:val="Normln"/>
    <w:qFormat/>
    <w:rsid w:val="00807EEC"/>
    <w:pPr>
      <w:pBdr>
        <w:top w:val="single" w:sz="4" w:space="0" w:color="000000"/>
        <w:bottom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9">
    <w:name w:val="xl239"/>
    <w:basedOn w:val="Normln"/>
    <w:qFormat/>
    <w:rsid w:val="00807EEC"/>
    <w:pPr>
      <w:pBdr>
        <w:top w:val="single" w:sz="4" w:space="0" w:color="000000"/>
        <w:bottom w:val="single" w:sz="4" w:space="0" w:color="000000"/>
        <w:right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40">
    <w:name w:val="xl240"/>
    <w:basedOn w:val="Normln"/>
    <w:qFormat/>
    <w:rsid w:val="00807EEC"/>
    <w:pPr>
      <w:pBdr>
        <w:top w:val="single" w:sz="4" w:space="0" w:color="000000"/>
        <w:left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41">
    <w:name w:val="xl241"/>
    <w:basedOn w:val="Normln"/>
    <w:qFormat/>
    <w:rsid w:val="00807EEC"/>
    <w:pPr>
      <w:pBdr>
        <w:top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42">
    <w:name w:val="xl242"/>
    <w:basedOn w:val="Normln"/>
    <w:qFormat/>
    <w:rsid w:val="00807EEC"/>
    <w:pPr>
      <w:pBdr>
        <w:top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43">
    <w:name w:val="xl243"/>
    <w:basedOn w:val="Normln"/>
    <w:qFormat/>
    <w:rsid w:val="00807EEC"/>
    <w:pPr>
      <w:pBdr>
        <w:top w:val="single" w:sz="4" w:space="0" w:color="000000"/>
        <w:left w:val="single" w:sz="4" w:space="0" w:color="000000"/>
        <w:bottom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44">
    <w:name w:val="xl244"/>
    <w:basedOn w:val="Normln"/>
    <w:qFormat/>
    <w:rsid w:val="00807EEC"/>
    <w:pPr>
      <w:pBdr>
        <w:top w:val="single" w:sz="4" w:space="0" w:color="000000"/>
        <w:bottom w:val="single" w:sz="4" w:space="0" w:color="000000"/>
        <w:right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45">
    <w:name w:val="xl245"/>
    <w:basedOn w:val="Normln"/>
    <w:qFormat/>
    <w:rsid w:val="00807EEC"/>
    <w:pPr>
      <w:pBdr>
        <w:top w:val="single" w:sz="4" w:space="0" w:color="000000"/>
        <w:left w:val="single" w:sz="4" w:space="0" w:color="000000"/>
        <w:bottom w:val="single" w:sz="4" w:space="0" w:color="000000"/>
      </w:pBdr>
      <w:shd w:val="clear" w:color="000000" w:fill="EBF1DE"/>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46">
    <w:name w:val="xl246"/>
    <w:basedOn w:val="Normln"/>
    <w:qFormat/>
    <w:rsid w:val="00807EEC"/>
    <w:pPr>
      <w:pBdr>
        <w:top w:val="single" w:sz="4" w:space="0" w:color="000000"/>
        <w:bottom w:val="single" w:sz="4" w:space="0" w:color="000000"/>
        <w:right w:val="single" w:sz="4" w:space="0" w:color="000000"/>
      </w:pBdr>
      <w:shd w:val="clear" w:color="000000" w:fill="EBF1DE"/>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47">
    <w:name w:val="xl247"/>
    <w:basedOn w:val="Normln"/>
    <w:qFormat/>
    <w:rsid w:val="00807EEC"/>
    <w:pPr>
      <w:pBdr>
        <w:top w:val="single" w:sz="8" w:space="0" w:color="000000"/>
        <w:left w:val="single" w:sz="4" w:space="0" w:color="000000"/>
        <w:bottom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48">
    <w:name w:val="xl248"/>
    <w:basedOn w:val="Normln"/>
    <w:qFormat/>
    <w:rsid w:val="00807EEC"/>
    <w:pPr>
      <w:pBdr>
        <w:top w:val="single" w:sz="8" w:space="0" w:color="000000"/>
        <w:bottom w:val="single" w:sz="4" w:space="0" w:color="000000"/>
        <w:right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49">
    <w:name w:val="xl249"/>
    <w:basedOn w:val="Normln"/>
    <w:qFormat/>
    <w:rsid w:val="00807EEC"/>
    <w:pPr>
      <w:pBdr>
        <w:top w:val="single" w:sz="8" w:space="0" w:color="000000"/>
        <w:left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50">
    <w:name w:val="xl250"/>
    <w:basedOn w:val="Normln"/>
    <w:qFormat/>
    <w:rsid w:val="00807EEC"/>
    <w:pPr>
      <w:pBdr>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51">
    <w:name w:val="xl251"/>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b/>
      <w:bCs/>
      <w:color w:val="202124"/>
      <w:sz w:val="12"/>
      <w:szCs w:val="12"/>
      <w:lang w:val="en-GB" w:eastAsia="en-GB"/>
    </w:rPr>
  </w:style>
  <w:style w:type="paragraph" w:customStyle="1" w:styleId="xl252">
    <w:name w:val="xl252"/>
    <w:basedOn w:val="Normln"/>
    <w:qFormat/>
    <w:rsid w:val="00807EEC"/>
    <w:pPr>
      <w:pBdr>
        <w:top w:val="single" w:sz="4" w:space="0" w:color="000000"/>
        <w:left w:val="single" w:sz="4" w:space="0" w:color="000000"/>
        <w:bottom w:val="single" w:sz="8"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53">
    <w:name w:val="xl253"/>
    <w:basedOn w:val="Normln"/>
    <w:qFormat/>
    <w:rsid w:val="00807EEC"/>
    <w:pPr>
      <w:pBdr>
        <w:top w:val="single" w:sz="4" w:space="0" w:color="000000"/>
        <w:bottom w:val="single" w:sz="8"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54">
    <w:name w:val="xl254"/>
    <w:basedOn w:val="Normln"/>
    <w:qFormat/>
    <w:rsid w:val="00807EEC"/>
    <w:pPr>
      <w:pBdr>
        <w:top w:val="single" w:sz="4" w:space="0" w:color="000000"/>
        <w:left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color w:val="202124"/>
      <w:sz w:val="12"/>
      <w:szCs w:val="12"/>
      <w:lang w:val="en-GB" w:eastAsia="en-GB"/>
    </w:rPr>
  </w:style>
  <w:style w:type="paragraph" w:customStyle="1" w:styleId="xl255">
    <w:name w:val="xl255"/>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color w:val="373A3C"/>
      <w:sz w:val="12"/>
      <w:szCs w:val="12"/>
      <w:lang w:val="en-GB" w:eastAsia="en-GB"/>
    </w:rPr>
  </w:style>
  <w:style w:type="paragraph" w:customStyle="1" w:styleId="xl256">
    <w:name w:val="xl256"/>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sz w:val="12"/>
      <w:szCs w:val="12"/>
      <w:lang w:val="en-GB" w:eastAsia="en-GB"/>
    </w:rPr>
  </w:style>
  <w:style w:type="paragraph" w:customStyle="1" w:styleId="xl257">
    <w:name w:val="xl257"/>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58">
    <w:name w:val="xl258"/>
    <w:basedOn w:val="Normln"/>
    <w:qFormat/>
    <w:rsid w:val="00807EEC"/>
    <w:pPr>
      <w:pBdr>
        <w:top w:val="single" w:sz="8"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59">
    <w:name w:val="xl259"/>
    <w:basedOn w:val="Normln"/>
    <w:qFormat/>
    <w:rsid w:val="00807EEC"/>
    <w:pPr>
      <w:pBdr>
        <w:top w:val="single" w:sz="4" w:space="0" w:color="000000"/>
        <w:left w:val="single" w:sz="4" w:space="0" w:color="000000"/>
      </w:pBdr>
      <w:spacing w:beforeAutospacing="1" w:afterAutospacing="1" w:line="240" w:lineRule="auto"/>
      <w:textAlignment w:val="center"/>
    </w:pPr>
    <w:rPr>
      <w:rFonts w:ascii="Times New Roman" w:eastAsia="Times New Roman" w:hAnsi="Times New Roman" w:cs="Times New Roman"/>
      <w:color w:val="202124"/>
      <w:sz w:val="12"/>
      <w:szCs w:val="12"/>
      <w:lang w:val="en-GB" w:eastAsia="en-GB"/>
    </w:rPr>
  </w:style>
  <w:style w:type="paragraph" w:customStyle="1" w:styleId="xl260">
    <w:name w:val="xl260"/>
    <w:basedOn w:val="Normln"/>
    <w:qFormat/>
    <w:rsid w:val="00807EEC"/>
    <w:pPr>
      <w:pBdr>
        <w:top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color w:val="202124"/>
      <w:sz w:val="12"/>
      <w:szCs w:val="12"/>
      <w:lang w:val="en-GB" w:eastAsia="en-GB"/>
    </w:rPr>
  </w:style>
  <w:style w:type="paragraph" w:customStyle="1" w:styleId="xl261">
    <w:name w:val="xl261"/>
    <w:basedOn w:val="Normln"/>
    <w:qFormat/>
    <w:rsid w:val="00807EEC"/>
    <w:pPr>
      <w:pBdr>
        <w:top w:val="single" w:sz="4" w:space="0" w:color="000000"/>
        <w:left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b/>
      <w:bCs/>
      <w:color w:val="202124"/>
      <w:sz w:val="12"/>
      <w:szCs w:val="12"/>
      <w:lang w:val="en-GB" w:eastAsia="en-GB"/>
    </w:rPr>
  </w:style>
  <w:style w:type="paragraph" w:customStyle="1" w:styleId="xl262">
    <w:name w:val="xl262"/>
    <w:basedOn w:val="Normln"/>
    <w:qFormat/>
    <w:rsid w:val="00807EEC"/>
    <w:pPr>
      <w:pBdr>
        <w:top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b/>
      <w:bCs/>
      <w:color w:val="202124"/>
      <w:sz w:val="12"/>
      <w:szCs w:val="12"/>
      <w:lang w:val="en-GB" w:eastAsia="en-GB"/>
    </w:rPr>
  </w:style>
  <w:style w:type="paragraph" w:customStyle="1" w:styleId="xl263">
    <w:name w:val="xl263"/>
    <w:basedOn w:val="Normln"/>
    <w:qFormat/>
    <w:rsid w:val="00807EEC"/>
    <w:pPr>
      <w:pBdr>
        <w:top w:val="single" w:sz="4" w:space="0" w:color="000000"/>
        <w:left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color w:val="373A3C"/>
      <w:sz w:val="12"/>
      <w:szCs w:val="12"/>
      <w:lang w:val="en-GB" w:eastAsia="en-GB"/>
    </w:rPr>
  </w:style>
  <w:style w:type="paragraph" w:customStyle="1" w:styleId="xl264">
    <w:name w:val="xl264"/>
    <w:basedOn w:val="Normln"/>
    <w:qFormat/>
    <w:rsid w:val="00807EEC"/>
    <w:pPr>
      <w:pBdr>
        <w:top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color w:val="373A3C"/>
      <w:sz w:val="12"/>
      <w:szCs w:val="12"/>
      <w:lang w:val="en-GB" w:eastAsia="en-GB"/>
    </w:rPr>
  </w:style>
  <w:style w:type="paragraph" w:customStyle="1" w:styleId="xl265">
    <w:name w:val="xl265"/>
    <w:basedOn w:val="Normln"/>
    <w:qFormat/>
    <w:rsid w:val="00807EEC"/>
    <w:pPr>
      <w:pBdr>
        <w:top w:val="single" w:sz="4" w:space="0" w:color="000000"/>
        <w:left w:val="single" w:sz="4" w:space="0" w:color="000000"/>
      </w:pBdr>
      <w:shd w:val="clear" w:color="000000" w:fill="FFFFCC"/>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66">
    <w:name w:val="xl266"/>
    <w:basedOn w:val="Normln"/>
    <w:qFormat/>
    <w:rsid w:val="00807EEC"/>
    <w:pPr>
      <w:pBdr>
        <w:top w:val="single" w:sz="4" w:space="0" w:color="000000"/>
        <w:right w:val="single" w:sz="4" w:space="0" w:color="000000"/>
      </w:pBdr>
      <w:shd w:val="clear" w:color="000000" w:fill="FFFFCC"/>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67">
    <w:name w:val="xl267"/>
    <w:basedOn w:val="Normln"/>
    <w:qFormat/>
    <w:rsid w:val="00807EEC"/>
    <w:pPr>
      <w:pBdr>
        <w:top w:val="single" w:sz="8" w:space="0" w:color="000000"/>
        <w:left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68">
    <w:name w:val="xl268"/>
    <w:basedOn w:val="Normln"/>
    <w:qFormat/>
    <w:rsid w:val="00807EEC"/>
    <w:pPr>
      <w:pBdr>
        <w:top w:val="single" w:sz="8"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69">
    <w:name w:val="xl269"/>
    <w:basedOn w:val="Normln"/>
    <w:qFormat/>
    <w:rsid w:val="00807EEC"/>
    <w:pPr>
      <w:pBdr>
        <w:top w:val="single" w:sz="4" w:space="0" w:color="000000"/>
        <w:left w:val="single" w:sz="4" w:space="0" w:color="000000"/>
        <w:bottom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70">
    <w:name w:val="xl270"/>
    <w:basedOn w:val="Normln"/>
    <w:qFormat/>
    <w:rsid w:val="00807EEC"/>
    <w:pPr>
      <w:pBdr>
        <w:top w:val="single" w:sz="4" w:space="0" w:color="000000"/>
        <w:bottom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71">
    <w:name w:val="xl271"/>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72">
    <w:name w:val="xl272"/>
    <w:basedOn w:val="Normln"/>
    <w:qFormat/>
    <w:rsid w:val="00807EEC"/>
    <w:pPr>
      <w:pBdr>
        <w:top w:val="single" w:sz="4" w:space="0" w:color="000000"/>
        <w:left w:val="single" w:sz="4" w:space="0" w:color="000000"/>
        <w:bottom w:val="single" w:sz="4" w:space="0" w:color="000000"/>
      </w:pBdr>
      <w:shd w:val="clear" w:color="000000" w:fill="FFFF99"/>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73">
    <w:name w:val="xl273"/>
    <w:basedOn w:val="Normln"/>
    <w:qFormat/>
    <w:rsid w:val="00807EEC"/>
    <w:pPr>
      <w:pBdr>
        <w:top w:val="single" w:sz="4" w:space="0" w:color="000000"/>
        <w:bottom w:val="single" w:sz="4" w:space="0" w:color="000000"/>
        <w:right w:val="single" w:sz="4" w:space="0" w:color="000000"/>
      </w:pBdr>
      <w:shd w:val="clear" w:color="000000" w:fill="FFFF99"/>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74">
    <w:name w:val="xl274"/>
    <w:basedOn w:val="Normln"/>
    <w:qFormat/>
    <w:rsid w:val="00807EEC"/>
    <w:pPr>
      <w:pBdr>
        <w:top w:val="single" w:sz="4" w:space="0" w:color="000000"/>
        <w:left w:val="single" w:sz="4" w:space="0" w:color="000000"/>
        <w:bottom w:val="single" w:sz="4" w:space="0" w:color="000000"/>
      </w:pBdr>
      <w:shd w:val="clear" w:color="000000" w:fill="FFFF99"/>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75">
    <w:name w:val="xl275"/>
    <w:basedOn w:val="Normln"/>
    <w:qFormat/>
    <w:rsid w:val="00807EEC"/>
    <w:pPr>
      <w:pBdr>
        <w:top w:val="single" w:sz="4" w:space="0" w:color="000000"/>
        <w:bottom w:val="single" w:sz="4" w:space="0" w:color="000000"/>
        <w:right w:val="single" w:sz="4" w:space="0" w:color="000000"/>
      </w:pBdr>
      <w:shd w:val="clear" w:color="000000" w:fill="FFFF99"/>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76">
    <w:name w:val="xl276"/>
    <w:basedOn w:val="Normln"/>
    <w:qFormat/>
    <w:rsid w:val="00807EEC"/>
    <w:pPr>
      <w:pBdr>
        <w:top w:val="single" w:sz="4" w:space="0" w:color="000000"/>
        <w:left w:val="single" w:sz="4" w:space="0" w:color="000000"/>
        <w:bottom w:val="single" w:sz="4" w:space="0" w:color="000000"/>
      </w:pBdr>
      <w:shd w:val="clear" w:color="000000" w:fill="FFFFCC"/>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77">
    <w:name w:val="xl277"/>
    <w:basedOn w:val="Normln"/>
    <w:qFormat/>
    <w:rsid w:val="00807EEC"/>
    <w:pPr>
      <w:pBdr>
        <w:top w:val="single" w:sz="4" w:space="0" w:color="000000"/>
        <w:bottom w:val="single" w:sz="4" w:space="0" w:color="000000"/>
        <w:right w:val="single" w:sz="4" w:space="0" w:color="000000"/>
      </w:pBdr>
      <w:shd w:val="clear" w:color="000000" w:fill="FFFFCC"/>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78">
    <w:name w:val="xl278"/>
    <w:basedOn w:val="Normln"/>
    <w:qFormat/>
    <w:rsid w:val="00807EEC"/>
    <w:pPr>
      <w:pBdr>
        <w:top w:val="single" w:sz="4" w:space="0" w:color="000000"/>
        <w:left w:val="single" w:sz="4" w:space="0" w:color="000000"/>
        <w:bottom w:val="single" w:sz="4" w:space="0" w:color="000000"/>
      </w:pBdr>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79">
    <w:name w:val="xl279"/>
    <w:basedOn w:val="Normln"/>
    <w:qFormat/>
    <w:rsid w:val="00807EEC"/>
    <w:pPr>
      <w:pBdr>
        <w:top w:val="single" w:sz="4" w:space="0" w:color="000000"/>
        <w:bottom w:val="single" w:sz="4" w:space="0" w:color="000000"/>
        <w:right w:val="single" w:sz="4" w:space="0" w:color="000000"/>
      </w:pBdr>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80">
    <w:name w:val="xl280"/>
    <w:basedOn w:val="Normln"/>
    <w:qFormat/>
    <w:rsid w:val="00807EEC"/>
    <w:pPr>
      <w:pBdr>
        <w:top w:val="single" w:sz="4" w:space="0" w:color="000000"/>
        <w:left w:val="single" w:sz="4" w:space="0" w:color="000000"/>
        <w:bottom w:val="single" w:sz="8"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81">
    <w:name w:val="xl281"/>
    <w:basedOn w:val="Normln"/>
    <w:qFormat/>
    <w:rsid w:val="00807EEC"/>
    <w:pPr>
      <w:pBdr>
        <w:top w:val="single" w:sz="4" w:space="0" w:color="000000"/>
        <w:left w:val="single" w:sz="4" w:space="0" w:color="000000"/>
      </w:pBdr>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82">
    <w:name w:val="xl282"/>
    <w:basedOn w:val="Normln"/>
    <w:qFormat/>
    <w:rsid w:val="00807EEC"/>
    <w:pPr>
      <w:pBdr>
        <w:top w:val="single" w:sz="4" w:space="0" w:color="000000"/>
        <w:right w:val="single" w:sz="4" w:space="0" w:color="000000"/>
      </w:pBdr>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83">
    <w:name w:val="xl283"/>
    <w:basedOn w:val="Normln"/>
    <w:qFormat/>
    <w:rsid w:val="00807EEC"/>
    <w:pPr>
      <w:pBdr>
        <w:top w:val="single" w:sz="8" w:space="0" w:color="000000"/>
        <w:left w:val="single" w:sz="4" w:space="0" w:color="000000"/>
        <w:bottom w:val="single" w:sz="4" w:space="0" w:color="000000"/>
      </w:pBdr>
      <w:shd w:val="clear" w:color="000000" w:fill="FFFF99"/>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84">
    <w:name w:val="xl284"/>
    <w:basedOn w:val="Normln"/>
    <w:qFormat/>
    <w:rsid w:val="00807EEC"/>
    <w:pPr>
      <w:pBdr>
        <w:top w:val="single" w:sz="8" w:space="0" w:color="000000"/>
        <w:bottom w:val="single" w:sz="4" w:space="0" w:color="000000"/>
        <w:right w:val="single" w:sz="4" w:space="0" w:color="000000"/>
      </w:pBdr>
      <w:shd w:val="clear" w:color="000000" w:fill="FFFF99"/>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85">
    <w:name w:val="xl285"/>
    <w:basedOn w:val="Normln"/>
    <w:qFormat/>
    <w:rsid w:val="00807EEC"/>
    <w:pPr>
      <w:pBdr>
        <w:top w:val="single" w:sz="8" w:space="0" w:color="000000"/>
        <w:left w:val="single" w:sz="4" w:space="0" w:color="000000"/>
        <w:bottom w:val="single" w:sz="8" w:space="0" w:color="000000"/>
      </w:pBdr>
      <w:spacing w:beforeAutospacing="1" w:afterAutospacing="1" w:line="240" w:lineRule="auto"/>
      <w:textAlignment w:val="center"/>
    </w:pPr>
    <w:rPr>
      <w:rFonts w:ascii="Times New Roman" w:eastAsia="Times New Roman" w:hAnsi="Times New Roman" w:cs="Times New Roman"/>
      <w:color w:val="000000"/>
      <w:sz w:val="12"/>
      <w:szCs w:val="12"/>
      <w:lang w:val="en-GB" w:eastAsia="en-GB"/>
    </w:rPr>
  </w:style>
  <w:style w:type="paragraph" w:customStyle="1" w:styleId="xl286">
    <w:name w:val="xl286"/>
    <w:basedOn w:val="Normln"/>
    <w:qFormat/>
    <w:rsid w:val="00807EEC"/>
    <w:pPr>
      <w:pBdr>
        <w:top w:val="single" w:sz="8" w:space="0" w:color="000000"/>
        <w:bottom w:val="single" w:sz="8" w:space="0" w:color="000000"/>
        <w:right w:val="single" w:sz="4" w:space="0" w:color="000000"/>
      </w:pBdr>
      <w:spacing w:beforeAutospacing="1" w:afterAutospacing="1" w:line="240" w:lineRule="auto"/>
      <w:textAlignment w:val="center"/>
    </w:pPr>
    <w:rPr>
      <w:rFonts w:ascii="Times New Roman" w:eastAsia="Times New Roman" w:hAnsi="Times New Roman" w:cs="Times New Roman"/>
      <w:color w:val="000000"/>
      <w:sz w:val="12"/>
      <w:szCs w:val="12"/>
      <w:lang w:val="en-GB" w:eastAsia="en-GB"/>
    </w:rPr>
  </w:style>
  <w:style w:type="paragraph" w:customStyle="1" w:styleId="xl287">
    <w:name w:val="xl287"/>
    <w:basedOn w:val="Normln"/>
    <w:qFormat/>
    <w:rsid w:val="00807EEC"/>
    <w:pPr>
      <w:pBdr>
        <w:bottom w:val="single" w:sz="8" w:space="0" w:color="000000"/>
        <w:right w:val="single" w:sz="4" w:space="0" w:color="000000"/>
      </w:pBdr>
      <w:spacing w:beforeAutospacing="1" w:afterAutospacing="1" w:line="240" w:lineRule="auto"/>
      <w:textAlignment w:val="center"/>
    </w:pPr>
    <w:rPr>
      <w:rFonts w:ascii="Times New Roman" w:eastAsia="Times New Roman" w:hAnsi="Times New Roman" w:cs="Times New Roman"/>
      <w:color w:val="000000"/>
      <w:sz w:val="12"/>
      <w:szCs w:val="12"/>
      <w:lang w:val="en-GB" w:eastAsia="en-GB"/>
    </w:rPr>
  </w:style>
  <w:style w:type="paragraph" w:customStyle="1" w:styleId="xl288">
    <w:name w:val="xl288"/>
    <w:basedOn w:val="Normln"/>
    <w:qFormat/>
    <w:rsid w:val="00807EEC"/>
    <w:pPr>
      <w:pBdr>
        <w:left w:val="single" w:sz="4" w:space="0" w:color="000000"/>
        <w:bottom w:val="single" w:sz="4" w:space="0" w:color="000000"/>
      </w:pBdr>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89">
    <w:name w:val="xl289"/>
    <w:basedOn w:val="Normln"/>
    <w:qFormat/>
    <w:rsid w:val="00807EEC"/>
    <w:pPr>
      <w:pBdr>
        <w:bottom w:val="single" w:sz="4" w:space="0" w:color="000000"/>
        <w:right w:val="single" w:sz="4" w:space="0" w:color="000000"/>
      </w:pBdr>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text">
    <w:name w:val="text"/>
    <w:basedOn w:val="Normln"/>
    <w:qFormat/>
    <w:rsid w:val="0050000D"/>
    <w:pPr>
      <w:spacing w:beforeAutospacing="1" w:afterAutospacing="1" w:line="240" w:lineRule="auto"/>
    </w:pPr>
    <w:rPr>
      <w:rFonts w:ascii="Times New Roman" w:eastAsia="Times New Roman" w:hAnsi="Times New Roman" w:cs="Times New Roman"/>
      <w:sz w:val="24"/>
      <w:szCs w:val="24"/>
      <w:lang w:eastAsia="cs-CZ"/>
    </w:rPr>
  </w:style>
  <w:style w:type="paragraph" w:customStyle="1" w:styleId="Obsahrmce">
    <w:name w:val="Obsah rámce"/>
    <w:basedOn w:val="Normln"/>
    <w:qFormat/>
  </w:style>
  <w:style w:type="table" w:styleId="Mkatabulky">
    <w:name w:val="Table Grid"/>
    <w:basedOn w:val="Normlntabulka"/>
    <w:uiPriority w:val="59"/>
    <w:rsid w:val="00047F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basedOn w:val="Standardnpsmoodstavce"/>
    <w:uiPriority w:val="99"/>
    <w:unhideWhenUsed/>
    <w:rsid w:val="002C6C60"/>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0F1D06"/>
    <w:pPr>
      <w:spacing w:after="200" w:line="276" w:lineRule="auto"/>
    </w:pPr>
    <w:rPr>
      <w:rFonts w:ascii="Verdana" w:hAnsi="Verdana"/>
    </w:rPr>
  </w:style>
  <w:style w:type="paragraph" w:styleId="Nadpis2">
    <w:name w:val="heading 2"/>
    <w:basedOn w:val="Normln"/>
    <w:link w:val="Nadpis2Char"/>
    <w:uiPriority w:val="9"/>
    <w:qFormat/>
    <w:rsid w:val="00535EE6"/>
    <w:pPr>
      <w:spacing w:beforeAutospacing="1" w:afterAutospacing="1" w:line="240" w:lineRule="auto"/>
      <w:outlineLvl w:val="1"/>
    </w:pPr>
    <w:rPr>
      <w:rFonts w:ascii="Times New Roman" w:eastAsia="Times New Roman" w:hAnsi="Times New Roman" w:cs="Times New Roman"/>
      <w:b/>
      <w:bCs/>
      <w:sz w:val="36"/>
      <w:szCs w:val="36"/>
      <w:lang w:eastAsia="cs-CZ"/>
    </w:rPr>
  </w:style>
  <w:style w:type="paragraph" w:styleId="Nadpis3">
    <w:name w:val="heading 3"/>
    <w:basedOn w:val="Normln"/>
    <w:next w:val="Normln"/>
    <w:link w:val="Nadpis3Char"/>
    <w:uiPriority w:val="9"/>
    <w:semiHidden/>
    <w:unhideWhenUsed/>
    <w:qFormat/>
    <w:rsid w:val="004A04CE"/>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ZhlavChar">
    <w:name w:val="Záhlaví Char"/>
    <w:basedOn w:val="Standardnpsmoodstavce"/>
    <w:link w:val="Zhlav"/>
    <w:uiPriority w:val="99"/>
    <w:qFormat/>
    <w:rsid w:val="006A6E6E"/>
  </w:style>
  <w:style w:type="character" w:customStyle="1" w:styleId="ZpatChar">
    <w:name w:val="Zápatí Char"/>
    <w:basedOn w:val="Standardnpsmoodstavce"/>
    <w:link w:val="Zpat"/>
    <w:uiPriority w:val="99"/>
    <w:qFormat/>
    <w:rsid w:val="006A6E6E"/>
  </w:style>
  <w:style w:type="character" w:customStyle="1" w:styleId="TextbublinyChar">
    <w:name w:val="Text bubliny Char"/>
    <w:basedOn w:val="Standardnpsmoodstavce"/>
    <w:link w:val="Textbubliny"/>
    <w:uiPriority w:val="99"/>
    <w:semiHidden/>
    <w:qFormat/>
    <w:rsid w:val="00083F75"/>
    <w:rPr>
      <w:rFonts w:ascii="Tahoma" w:hAnsi="Tahoma" w:cs="Tahoma"/>
      <w:sz w:val="16"/>
      <w:szCs w:val="16"/>
    </w:rPr>
  </w:style>
  <w:style w:type="character" w:customStyle="1" w:styleId="Internetovodkaz">
    <w:name w:val="Internetový odkaz"/>
    <w:basedOn w:val="Standardnpsmoodstavce"/>
    <w:uiPriority w:val="99"/>
    <w:unhideWhenUsed/>
    <w:rsid w:val="00A76925"/>
    <w:rPr>
      <w:color w:val="0000FF" w:themeColor="hyperlink"/>
      <w:u w:val="single"/>
    </w:rPr>
  </w:style>
  <w:style w:type="character" w:customStyle="1" w:styleId="Zkladntext">
    <w:name w:val="Základní text_"/>
    <w:basedOn w:val="Standardnpsmoodstavce"/>
    <w:link w:val="Zkladntext5"/>
    <w:qFormat/>
    <w:rsid w:val="00922E10"/>
    <w:rPr>
      <w:rFonts w:ascii="Verdana" w:eastAsia="Verdana" w:hAnsi="Verdana" w:cs="Verdana"/>
      <w:sz w:val="21"/>
      <w:szCs w:val="21"/>
      <w:shd w:val="clear" w:color="auto" w:fill="FFFFFF"/>
    </w:rPr>
  </w:style>
  <w:style w:type="character" w:styleId="Siln">
    <w:name w:val="Strong"/>
    <w:basedOn w:val="Standardnpsmoodstavce"/>
    <w:uiPriority w:val="22"/>
    <w:qFormat/>
    <w:rsid w:val="00531320"/>
    <w:rPr>
      <w:b/>
      <w:bCs/>
    </w:rPr>
  </w:style>
  <w:style w:type="character" w:customStyle="1" w:styleId="CittChar">
    <w:name w:val="Citát Char"/>
    <w:basedOn w:val="Standardnpsmoodstavce"/>
    <w:link w:val="Citt"/>
    <w:uiPriority w:val="29"/>
    <w:qFormat/>
    <w:rsid w:val="000B6C01"/>
    <w:rPr>
      <w:rFonts w:ascii="Verdana" w:hAnsi="Verdana"/>
      <w:i/>
      <w:iCs/>
      <w:color w:val="000000" w:themeColor="text1"/>
    </w:rPr>
  </w:style>
  <w:style w:type="character" w:customStyle="1" w:styleId="Zdraznn">
    <w:name w:val="Zdůraznění"/>
    <w:basedOn w:val="Standardnpsmoodstavce"/>
    <w:uiPriority w:val="20"/>
    <w:qFormat/>
    <w:rsid w:val="00454069"/>
    <w:rPr>
      <w:i/>
      <w:iCs/>
    </w:rPr>
  </w:style>
  <w:style w:type="character" w:customStyle="1" w:styleId="Navtveninternetovodkaz">
    <w:name w:val="Navštívený internetový odkaz"/>
    <w:basedOn w:val="Standardnpsmoodstavce"/>
    <w:uiPriority w:val="99"/>
    <w:semiHidden/>
    <w:unhideWhenUsed/>
    <w:rsid w:val="00807EEC"/>
    <w:rPr>
      <w:color w:val="800080"/>
      <w:u w:val="single"/>
    </w:rPr>
  </w:style>
  <w:style w:type="character" w:customStyle="1" w:styleId="Nadpis2Char">
    <w:name w:val="Nadpis 2 Char"/>
    <w:basedOn w:val="Standardnpsmoodstavce"/>
    <w:link w:val="Nadpis2"/>
    <w:uiPriority w:val="9"/>
    <w:qFormat/>
    <w:rsid w:val="00535EE6"/>
    <w:rPr>
      <w:rFonts w:ascii="Times New Roman" w:eastAsia="Times New Roman" w:hAnsi="Times New Roman" w:cs="Times New Roman"/>
      <w:b/>
      <w:bCs/>
      <w:sz w:val="36"/>
      <w:szCs w:val="36"/>
      <w:lang w:eastAsia="cs-CZ"/>
    </w:rPr>
  </w:style>
  <w:style w:type="character" w:customStyle="1" w:styleId="Nadpis3Char">
    <w:name w:val="Nadpis 3 Char"/>
    <w:basedOn w:val="Standardnpsmoodstavce"/>
    <w:link w:val="Nadpis3"/>
    <w:uiPriority w:val="9"/>
    <w:semiHidden/>
    <w:qFormat/>
    <w:rsid w:val="004A04CE"/>
    <w:rPr>
      <w:rFonts w:asciiTheme="majorHAnsi" w:eastAsiaTheme="majorEastAsia" w:hAnsiTheme="majorHAnsi" w:cstheme="majorBidi"/>
      <w:b/>
      <w:bCs/>
      <w:color w:val="4F81BD" w:themeColor="accent1"/>
    </w:rPr>
  </w:style>
  <w:style w:type="paragraph" w:customStyle="1" w:styleId="Nadpis">
    <w:name w:val="Nadpis"/>
    <w:basedOn w:val="Normln"/>
    <w:next w:val="Zkladntext0"/>
    <w:qFormat/>
    <w:pPr>
      <w:keepNext/>
      <w:spacing w:before="240" w:after="120"/>
    </w:pPr>
    <w:rPr>
      <w:rFonts w:ascii="Liberation Sans" w:eastAsia="Noto Sans CJK SC" w:hAnsi="Liberation Sans" w:cs="Lohit Devanagari"/>
      <w:sz w:val="28"/>
      <w:szCs w:val="28"/>
    </w:rPr>
  </w:style>
  <w:style w:type="paragraph" w:styleId="Zkladntext0">
    <w:name w:val="Body Text"/>
    <w:basedOn w:val="Normln"/>
    <w:pPr>
      <w:spacing w:after="140"/>
    </w:pPr>
  </w:style>
  <w:style w:type="paragraph" w:styleId="Seznam">
    <w:name w:val="List"/>
    <w:basedOn w:val="Zkladntext0"/>
    <w:rPr>
      <w:rFonts w:cs="Lohit Devanagari"/>
    </w:rPr>
  </w:style>
  <w:style w:type="paragraph" w:styleId="Titulek">
    <w:name w:val="caption"/>
    <w:basedOn w:val="Normln"/>
    <w:qFormat/>
    <w:pPr>
      <w:suppressLineNumbers/>
      <w:spacing w:before="120" w:after="120"/>
    </w:pPr>
    <w:rPr>
      <w:rFonts w:cs="Lohit Devanagari"/>
      <w:i/>
      <w:iCs/>
      <w:sz w:val="24"/>
      <w:szCs w:val="24"/>
    </w:rPr>
  </w:style>
  <w:style w:type="paragraph" w:customStyle="1" w:styleId="Rejstk">
    <w:name w:val="Rejstřík"/>
    <w:basedOn w:val="Normln"/>
    <w:qFormat/>
    <w:pPr>
      <w:suppressLineNumbers/>
    </w:pPr>
    <w:rPr>
      <w:rFonts w:cs="Lohit Devanagari"/>
    </w:rPr>
  </w:style>
  <w:style w:type="paragraph" w:customStyle="1" w:styleId="Zhlavazpat">
    <w:name w:val="Záhlaví a zápatí"/>
    <w:basedOn w:val="Normln"/>
    <w:qFormat/>
  </w:style>
  <w:style w:type="paragraph" w:styleId="Zhlav">
    <w:name w:val="header"/>
    <w:basedOn w:val="Normln"/>
    <w:link w:val="ZhlavChar"/>
    <w:uiPriority w:val="99"/>
    <w:unhideWhenUsed/>
    <w:rsid w:val="006A6E6E"/>
    <w:pPr>
      <w:tabs>
        <w:tab w:val="center" w:pos="4536"/>
        <w:tab w:val="right" w:pos="9072"/>
      </w:tabs>
      <w:spacing w:after="0" w:line="240" w:lineRule="auto"/>
    </w:pPr>
  </w:style>
  <w:style w:type="paragraph" w:styleId="Zpat">
    <w:name w:val="footer"/>
    <w:basedOn w:val="Normln"/>
    <w:link w:val="ZpatChar"/>
    <w:uiPriority w:val="99"/>
    <w:unhideWhenUsed/>
    <w:rsid w:val="006A6E6E"/>
    <w:pPr>
      <w:tabs>
        <w:tab w:val="center" w:pos="4536"/>
        <w:tab w:val="right" w:pos="9072"/>
      </w:tabs>
      <w:spacing w:after="0" w:line="240" w:lineRule="auto"/>
    </w:pPr>
  </w:style>
  <w:style w:type="paragraph" w:styleId="Bezmezer">
    <w:name w:val="No Spacing"/>
    <w:uiPriority w:val="1"/>
    <w:qFormat/>
    <w:rsid w:val="00A76925"/>
    <w:rPr>
      <w:rFonts w:ascii="Verdana" w:hAnsi="Verdana"/>
      <w:sz w:val="18"/>
    </w:rPr>
  </w:style>
  <w:style w:type="paragraph" w:styleId="Textbubliny">
    <w:name w:val="Balloon Text"/>
    <w:basedOn w:val="Normln"/>
    <w:link w:val="TextbublinyChar"/>
    <w:uiPriority w:val="99"/>
    <w:semiHidden/>
    <w:unhideWhenUsed/>
    <w:qFormat/>
    <w:rsid w:val="00083F75"/>
    <w:pPr>
      <w:spacing w:after="0" w:line="240" w:lineRule="auto"/>
    </w:pPr>
    <w:rPr>
      <w:rFonts w:ascii="Tahoma" w:hAnsi="Tahoma" w:cs="Tahoma"/>
      <w:sz w:val="16"/>
      <w:szCs w:val="16"/>
    </w:rPr>
  </w:style>
  <w:style w:type="paragraph" w:styleId="Odstavecseseznamem">
    <w:name w:val="List Paragraph"/>
    <w:basedOn w:val="Normln"/>
    <w:uiPriority w:val="34"/>
    <w:qFormat/>
    <w:rsid w:val="00DA3232"/>
    <w:pPr>
      <w:ind w:left="720"/>
      <w:contextualSpacing/>
    </w:pPr>
  </w:style>
  <w:style w:type="paragraph" w:customStyle="1" w:styleId="Standard">
    <w:name w:val="Standard"/>
    <w:qFormat/>
    <w:rsid w:val="004A3F9C"/>
    <w:pPr>
      <w:widowControl w:val="0"/>
      <w:textAlignment w:val="baseline"/>
    </w:pPr>
    <w:rPr>
      <w:rFonts w:ascii="Times New Roman" w:eastAsia="Arial Unicode MS" w:hAnsi="Times New Roman" w:cs="Mangal"/>
      <w:kern w:val="2"/>
      <w:sz w:val="24"/>
      <w:szCs w:val="24"/>
      <w:lang w:eastAsia="zh-CN" w:bidi="hi-IN"/>
    </w:rPr>
  </w:style>
  <w:style w:type="paragraph" w:customStyle="1" w:styleId="Zkladntext5">
    <w:name w:val="Základní text5"/>
    <w:basedOn w:val="Normln"/>
    <w:link w:val="Zkladntext"/>
    <w:qFormat/>
    <w:rsid w:val="00922E10"/>
    <w:pPr>
      <w:shd w:val="clear" w:color="auto" w:fill="FFFFFF"/>
      <w:spacing w:after="0" w:line="509" w:lineRule="exact"/>
      <w:ind w:hanging="380"/>
    </w:pPr>
    <w:rPr>
      <w:rFonts w:eastAsia="Verdana" w:cs="Verdana"/>
      <w:sz w:val="21"/>
      <w:szCs w:val="21"/>
    </w:rPr>
  </w:style>
  <w:style w:type="paragraph" w:styleId="Normlnweb">
    <w:name w:val="Normal (Web)"/>
    <w:basedOn w:val="Normln"/>
    <w:uiPriority w:val="99"/>
    <w:unhideWhenUsed/>
    <w:qFormat/>
    <w:rsid w:val="005204D7"/>
    <w:pPr>
      <w:spacing w:beforeAutospacing="1" w:afterAutospacing="1" w:line="240" w:lineRule="auto"/>
    </w:pPr>
    <w:rPr>
      <w:rFonts w:ascii="Times New Roman" w:eastAsia="Times New Roman" w:hAnsi="Times New Roman" w:cs="Times New Roman"/>
      <w:sz w:val="24"/>
      <w:szCs w:val="24"/>
      <w:lang w:eastAsia="cs-CZ"/>
    </w:rPr>
  </w:style>
  <w:style w:type="paragraph" w:styleId="Citt">
    <w:name w:val="Quote"/>
    <w:basedOn w:val="Normln"/>
    <w:next w:val="Normln"/>
    <w:link w:val="CittChar"/>
    <w:uiPriority w:val="29"/>
    <w:qFormat/>
    <w:rsid w:val="000B6C01"/>
    <w:rPr>
      <w:i/>
      <w:iCs/>
      <w:color w:val="000000" w:themeColor="text1"/>
    </w:rPr>
  </w:style>
  <w:style w:type="paragraph" w:customStyle="1" w:styleId="font5">
    <w:name w:val="font5"/>
    <w:basedOn w:val="Normln"/>
    <w:qFormat/>
    <w:rsid w:val="00807EEC"/>
    <w:pPr>
      <w:spacing w:beforeAutospacing="1" w:afterAutospacing="1" w:line="240" w:lineRule="auto"/>
    </w:pPr>
    <w:rPr>
      <w:rFonts w:ascii="Calibri" w:eastAsia="Times New Roman" w:hAnsi="Calibri" w:cs="Calibri"/>
      <w:b/>
      <w:bCs/>
      <w:color w:val="000000"/>
      <w:sz w:val="12"/>
      <w:szCs w:val="12"/>
      <w:lang w:val="en-GB" w:eastAsia="en-GB"/>
    </w:rPr>
  </w:style>
  <w:style w:type="paragraph" w:customStyle="1" w:styleId="font6">
    <w:name w:val="font6"/>
    <w:basedOn w:val="Normln"/>
    <w:qFormat/>
    <w:rsid w:val="00807EEC"/>
    <w:pPr>
      <w:spacing w:beforeAutospacing="1" w:afterAutospacing="1" w:line="240" w:lineRule="auto"/>
    </w:pPr>
    <w:rPr>
      <w:rFonts w:ascii="Calibri" w:eastAsia="Times New Roman" w:hAnsi="Calibri" w:cs="Calibri"/>
      <w:color w:val="000000"/>
      <w:sz w:val="12"/>
      <w:szCs w:val="12"/>
      <w:lang w:val="en-GB" w:eastAsia="en-GB"/>
    </w:rPr>
  </w:style>
  <w:style w:type="paragraph" w:customStyle="1" w:styleId="font7">
    <w:name w:val="font7"/>
    <w:basedOn w:val="Normln"/>
    <w:qFormat/>
    <w:rsid w:val="00807EEC"/>
    <w:pPr>
      <w:spacing w:beforeAutospacing="1" w:afterAutospacing="1" w:line="240" w:lineRule="auto"/>
    </w:pPr>
    <w:rPr>
      <w:rFonts w:ascii="Calibri" w:eastAsia="Times New Roman" w:hAnsi="Calibri" w:cs="Calibri"/>
      <w:color w:val="000000"/>
      <w:sz w:val="12"/>
      <w:szCs w:val="12"/>
      <w:lang w:val="en-GB" w:eastAsia="en-GB"/>
    </w:rPr>
  </w:style>
  <w:style w:type="paragraph" w:customStyle="1" w:styleId="font8">
    <w:name w:val="font8"/>
    <w:basedOn w:val="Normln"/>
    <w:qFormat/>
    <w:rsid w:val="00807EEC"/>
    <w:pPr>
      <w:spacing w:beforeAutospacing="1" w:afterAutospacing="1" w:line="240" w:lineRule="auto"/>
    </w:pPr>
    <w:rPr>
      <w:rFonts w:ascii="Calibri" w:eastAsia="Times New Roman" w:hAnsi="Calibri" w:cs="Calibri"/>
      <w:b/>
      <w:bCs/>
      <w:color w:val="000000"/>
      <w:sz w:val="12"/>
      <w:szCs w:val="12"/>
      <w:lang w:val="en-GB" w:eastAsia="en-GB"/>
    </w:rPr>
  </w:style>
  <w:style w:type="paragraph" w:customStyle="1" w:styleId="font9">
    <w:name w:val="font9"/>
    <w:basedOn w:val="Normln"/>
    <w:qFormat/>
    <w:rsid w:val="00807EEC"/>
    <w:pPr>
      <w:spacing w:beforeAutospacing="1" w:afterAutospacing="1" w:line="240" w:lineRule="auto"/>
    </w:pPr>
    <w:rPr>
      <w:rFonts w:ascii="Calibri" w:eastAsia="Times New Roman" w:hAnsi="Calibri" w:cs="Calibri"/>
      <w:color w:val="373A3C"/>
      <w:sz w:val="12"/>
      <w:szCs w:val="12"/>
      <w:lang w:val="en-GB" w:eastAsia="en-GB"/>
    </w:rPr>
  </w:style>
  <w:style w:type="paragraph" w:customStyle="1" w:styleId="font10">
    <w:name w:val="font10"/>
    <w:basedOn w:val="Normln"/>
    <w:qFormat/>
    <w:rsid w:val="00807EEC"/>
    <w:pPr>
      <w:spacing w:beforeAutospacing="1" w:afterAutospacing="1" w:line="240" w:lineRule="auto"/>
    </w:pPr>
    <w:rPr>
      <w:rFonts w:ascii="Calibri" w:eastAsia="Times New Roman" w:hAnsi="Calibri" w:cs="Calibri"/>
      <w:color w:val="373A3C"/>
      <w:sz w:val="12"/>
      <w:szCs w:val="12"/>
      <w:lang w:val="en-GB" w:eastAsia="en-GB"/>
    </w:rPr>
  </w:style>
  <w:style w:type="paragraph" w:customStyle="1" w:styleId="font11">
    <w:name w:val="font11"/>
    <w:basedOn w:val="Normln"/>
    <w:qFormat/>
    <w:rsid w:val="00807EEC"/>
    <w:pPr>
      <w:spacing w:beforeAutospacing="1" w:afterAutospacing="1" w:line="240" w:lineRule="auto"/>
    </w:pPr>
    <w:rPr>
      <w:rFonts w:ascii="Calibri" w:eastAsia="Times New Roman" w:hAnsi="Calibri" w:cs="Calibri"/>
      <w:color w:val="202124"/>
      <w:sz w:val="12"/>
      <w:szCs w:val="12"/>
      <w:lang w:val="en-GB" w:eastAsia="en-GB"/>
    </w:rPr>
  </w:style>
  <w:style w:type="paragraph" w:customStyle="1" w:styleId="font12">
    <w:name w:val="font12"/>
    <w:basedOn w:val="Normln"/>
    <w:qFormat/>
    <w:rsid w:val="00807EEC"/>
    <w:pPr>
      <w:spacing w:beforeAutospacing="1" w:afterAutospacing="1" w:line="240" w:lineRule="auto"/>
    </w:pPr>
    <w:rPr>
      <w:rFonts w:ascii="Calibri" w:eastAsia="Times New Roman" w:hAnsi="Calibri" w:cs="Calibri"/>
      <w:color w:val="202124"/>
      <w:sz w:val="12"/>
      <w:szCs w:val="12"/>
      <w:lang w:val="en-GB" w:eastAsia="en-GB"/>
    </w:rPr>
  </w:style>
  <w:style w:type="paragraph" w:customStyle="1" w:styleId="font13">
    <w:name w:val="font13"/>
    <w:basedOn w:val="Normln"/>
    <w:qFormat/>
    <w:rsid w:val="00807EEC"/>
    <w:pPr>
      <w:spacing w:beforeAutospacing="1" w:afterAutospacing="1" w:line="240" w:lineRule="auto"/>
    </w:pPr>
    <w:rPr>
      <w:rFonts w:ascii="Calibri" w:eastAsia="Times New Roman" w:hAnsi="Calibri" w:cs="Calibri"/>
      <w:color w:val="202124"/>
      <w:sz w:val="12"/>
      <w:szCs w:val="12"/>
      <w:lang w:val="en-GB" w:eastAsia="en-GB"/>
    </w:rPr>
  </w:style>
  <w:style w:type="paragraph" w:customStyle="1" w:styleId="xl130">
    <w:name w:val="xl130"/>
    <w:basedOn w:val="Normln"/>
    <w:qFormat/>
    <w:rsid w:val="00807EEC"/>
    <w:pPr>
      <w:pBdr>
        <w:top w:val="single" w:sz="4" w:space="0" w:color="000000"/>
        <w:left w:val="single" w:sz="4" w:space="0" w:color="000000"/>
        <w:bottom w:val="single" w:sz="4" w:space="0" w:color="000000"/>
        <w:right w:val="single" w:sz="4" w:space="0" w:color="000000"/>
      </w:pBdr>
      <w:shd w:val="clear" w:color="000000" w:fill="B8CCE4"/>
      <w:spacing w:beforeAutospacing="1" w:afterAutospacing="1" w:line="240" w:lineRule="auto"/>
      <w:jc w:val="center"/>
      <w:textAlignment w:val="center"/>
    </w:pPr>
    <w:rPr>
      <w:rFonts w:ascii="Times New Roman" w:eastAsia="Times New Roman" w:hAnsi="Times New Roman" w:cs="Times New Roman"/>
      <w:b/>
      <w:bCs/>
      <w:sz w:val="12"/>
      <w:szCs w:val="12"/>
      <w:lang w:val="en-GB" w:eastAsia="en-GB"/>
    </w:rPr>
  </w:style>
  <w:style w:type="paragraph" w:customStyle="1" w:styleId="xl131">
    <w:name w:val="xl131"/>
    <w:basedOn w:val="Normln"/>
    <w:qFormat/>
    <w:rsid w:val="00807EEC"/>
    <w:pPr>
      <w:pBdr>
        <w:top w:val="single" w:sz="4" w:space="0" w:color="000000"/>
        <w:left w:val="single" w:sz="4" w:space="0" w:color="000000"/>
        <w:right w:val="single" w:sz="4" w:space="0" w:color="000000"/>
      </w:pBdr>
      <w:shd w:val="clear" w:color="000000" w:fill="B8CCE4"/>
      <w:spacing w:beforeAutospacing="1" w:afterAutospacing="1" w:line="240" w:lineRule="auto"/>
      <w:jc w:val="center"/>
      <w:textAlignment w:val="center"/>
    </w:pPr>
    <w:rPr>
      <w:rFonts w:ascii="Times New Roman" w:eastAsia="Times New Roman" w:hAnsi="Times New Roman" w:cs="Times New Roman"/>
      <w:b/>
      <w:bCs/>
      <w:sz w:val="12"/>
      <w:szCs w:val="12"/>
      <w:lang w:val="en-GB" w:eastAsia="en-GB"/>
    </w:rPr>
  </w:style>
  <w:style w:type="paragraph" w:customStyle="1" w:styleId="xl132">
    <w:name w:val="xl132"/>
    <w:basedOn w:val="Normln"/>
    <w:qFormat/>
    <w:rsid w:val="00807EEC"/>
    <w:pPr>
      <w:pBdr>
        <w:top w:val="single" w:sz="4" w:space="0" w:color="000000"/>
        <w:left w:val="single" w:sz="4" w:space="0" w:color="000000"/>
        <w:bottom w:val="single" w:sz="4" w:space="0" w:color="000000"/>
        <w:right w:val="single" w:sz="4" w:space="0" w:color="000000"/>
      </w:pBdr>
      <w:shd w:val="clear" w:color="000000" w:fill="B8CCE4"/>
      <w:spacing w:beforeAutospacing="1" w:afterAutospacing="1" w:line="240" w:lineRule="auto"/>
      <w:jc w:val="center"/>
      <w:textAlignment w:val="center"/>
    </w:pPr>
    <w:rPr>
      <w:rFonts w:ascii="Times New Roman" w:eastAsia="Times New Roman" w:hAnsi="Times New Roman" w:cs="Times New Roman"/>
      <w:b/>
      <w:bCs/>
      <w:sz w:val="12"/>
      <w:szCs w:val="12"/>
      <w:lang w:val="en-GB" w:eastAsia="en-GB"/>
    </w:rPr>
  </w:style>
  <w:style w:type="paragraph" w:customStyle="1" w:styleId="xl133">
    <w:name w:val="xl133"/>
    <w:basedOn w:val="Normln"/>
    <w:qFormat/>
    <w:rsid w:val="00807EEC"/>
    <w:pPr>
      <w:pBdr>
        <w:top w:val="single" w:sz="4" w:space="0" w:color="000000"/>
        <w:left w:val="single" w:sz="4" w:space="0" w:color="000000"/>
        <w:bottom w:val="single" w:sz="4" w:space="0" w:color="000000"/>
      </w:pBdr>
      <w:shd w:val="clear" w:color="000000" w:fill="B8CCE4"/>
      <w:spacing w:beforeAutospacing="1" w:afterAutospacing="1" w:line="240" w:lineRule="auto"/>
      <w:jc w:val="center"/>
      <w:textAlignment w:val="center"/>
    </w:pPr>
    <w:rPr>
      <w:rFonts w:ascii="Times New Roman" w:eastAsia="Times New Roman" w:hAnsi="Times New Roman" w:cs="Times New Roman"/>
      <w:b/>
      <w:bCs/>
      <w:sz w:val="12"/>
      <w:szCs w:val="12"/>
      <w:lang w:val="en-GB" w:eastAsia="en-GB"/>
    </w:rPr>
  </w:style>
  <w:style w:type="paragraph" w:customStyle="1" w:styleId="xl134">
    <w:name w:val="xl134"/>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b/>
      <w:bCs/>
      <w:sz w:val="12"/>
      <w:szCs w:val="12"/>
      <w:lang w:val="en-GB" w:eastAsia="en-GB"/>
    </w:rPr>
  </w:style>
  <w:style w:type="paragraph" w:customStyle="1" w:styleId="xl135">
    <w:name w:val="xl135"/>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FF0000"/>
      <w:sz w:val="12"/>
      <w:szCs w:val="12"/>
      <w:lang w:val="en-GB" w:eastAsia="en-GB"/>
    </w:rPr>
  </w:style>
  <w:style w:type="paragraph" w:customStyle="1" w:styleId="xl136">
    <w:name w:val="xl136"/>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b/>
      <w:bCs/>
      <w:color w:val="FF0000"/>
      <w:sz w:val="12"/>
      <w:szCs w:val="12"/>
      <w:lang w:val="en-GB" w:eastAsia="en-GB"/>
    </w:rPr>
  </w:style>
  <w:style w:type="paragraph" w:customStyle="1" w:styleId="xl137">
    <w:name w:val="xl137"/>
    <w:basedOn w:val="Normln"/>
    <w:qFormat/>
    <w:rsid w:val="00807EEC"/>
    <w:pPr>
      <w:pBdr>
        <w:top w:val="single" w:sz="4" w:space="0" w:color="000000"/>
        <w:left w:val="single" w:sz="4" w:space="0" w:color="000000"/>
        <w:bottom w:val="single" w:sz="4" w:space="0" w:color="000000"/>
        <w:right w:val="single" w:sz="12"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FF0000"/>
      <w:sz w:val="12"/>
      <w:szCs w:val="12"/>
      <w:lang w:val="en-GB" w:eastAsia="en-GB"/>
    </w:rPr>
  </w:style>
  <w:style w:type="paragraph" w:customStyle="1" w:styleId="xl138">
    <w:name w:val="xl138"/>
    <w:basedOn w:val="Normln"/>
    <w:qFormat/>
    <w:rsid w:val="00807EEC"/>
    <w:pPr>
      <w:pBdr>
        <w:top w:val="single" w:sz="12" w:space="0" w:color="000000"/>
        <w:bottom w:val="single" w:sz="4" w:space="0" w:color="000000"/>
        <w:right w:val="single" w:sz="12"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FF0000"/>
      <w:sz w:val="12"/>
      <w:szCs w:val="12"/>
      <w:lang w:val="en-GB" w:eastAsia="en-GB"/>
    </w:rPr>
  </w:style>
  <w:style w:type="paragraph" w:customStyle="1" w:styleId="xl139">
    <w:name w:val="xl139"/>
    <w:basedOn w:val="Normln"/>
    <w:qFormat/>
    <w:rsid w:val="00807EEC"/>
    <w:pPr>
      <w:pBdr>
        <w:top w:val="single" w:sz="4" w:space="0" w:color="000000"/>
        <w:bottom w:val="single" w:sz="4" w:space="0" w:color="000000"/>
        <w:right w:val="single" w:sz="4" w:space="0" w:color="000000"/>
      </w:pBdr>
      <w:shd w:val="clear" w:color="000000" w:fill="FFFFFF"/>
      <w:spacing w:beforeAutospacing="1" w:afterAutospacing="1" w:line="240" w:lineRule="auto"/>
      <w:jc w:val="center"/>
    </w:pPr>
    <w:rPr>
      <w:rFonts w:ascii="Times New Roman" w:eastAsia="Times New Roman" w:hAnsi="Times New Roman" w:cs="Times New Roman"/>
      <w:b/>
      <w:bCs/>
      <w:color w:val="FF0000"/>
      <w:sz w:val="12"/>
      <w:szCs w:val="12"/>
      <w:lang w:val="en-GB" w:eastAsia="en-GB"/>
    </w:rPr>
  </w:style>
  <w:style w:type="paragraph" w:customStyle="1" w:styleId="xl140">
    <w:name w:val="xl140"/>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jc w:val="center"/>
      <w:textAlignment w:val="center"/>
    </w:pPr>
    <w:rPr>
      <w:rFonts w:ascii="Times New Roman" w:eastAsia="Times New Roman" w:hAnsi="Times New Roman" w:cs="Times New Roman"/>
      <w:b/>
      <w:bCs/>
      <w:color w:val="FF0000"/>
      <w:sz w:val="12"/>
      <w:szCs w:val="12"/>
      <w:lang w:val="en-GB" w:eastAsia="en-GB"/>
    </w:rPr>
  </w:style>
  <w:style w:type="paragraph" w:customStyle="1" w:styleId="xl141">
    <w:name w:val="xl141"/>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jc w:val="center"/>
    </w:pPr>
    <w:rPr>
      <w:rFonts w:ascii="Times New Roman" w:eastAsia="Times New Roman" w:hAnsi="Times New Roman" w:cs="Times New Roman"/>
      <w:b/>
      <w:bCs/>
      <w:color w:val="FF0000"/>
      <w:sz w:val="12"/>
      <w:szCs w:val="12"/>
      <w:lang w:val="en-GB" w:eastAsia="en-GB"/>
    </w:rPr>
  </w:style>
  <w:style w:type="paragraph" w:customStyle="1" w:styleId="xl142">
    <w:name w:val="xl142"/>
    <w:basedOn w:val="Normln"/>
    <w:qFormat/>
    <w:rsid w:val="00807EEC"/>
    <w:pPr>
      <w:pBdr>
        <w:top w:val="single" w:sz="4" w:space="0" w:color="000000"/>
        <w:left w:val="single" w:sz="4" w:space="0" w:color="000000"/>
        <w:bottom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FF0000"/>
      <w:sz w:val="12"/>
      <w:szCs w:val="12"/>
      <w:lang w:val="en-GB" w:eastAsia="en-GB"/>
    </w:rPr>
  </w:style>
  <w:style w:type="paragraph" w:customStyle="1" w:styleId="xl143">
    <w:name w:val="xl143"/>
    <w:basedOn w:val="Normln"/>
    <w:qFormat/>
    <w:rsid w:val="00807EEC"/>
    <w:pPr>
      <w:pBdr>
        <w:top w:val="single" w:sz="4" w:space="0" w:color="000000"/>
        <w:left w:val="single" w:sz="12" w:space="0" w:color="000000"/>
        <w:bottom w:val="single" w:sz="4" w:space="0" w:color="000000"/>
        <w:right w:val="single" w:sz="12"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FF0000"/>
      <w:sz w:val="12"/>
      <w:szCs w:val="12"/>
      <w:lang w:val="en-GB" w:eastAsia="en-GB"/>
    </w:rPr>
  </w:style>
  <w:style w:type="paragraph" w:customStyle="1" w:styleId="xl144">
    <w:name w:val="xl144"/>
    <w:basedOn w:val="Normln"/>
    <w:qFormat/>
    <w:rsid w:val="00807EEC"/>
    <w:pPr>
      <w:pBdr>
        <w:top w:val="single" w:sz="4" w:space="0" w:color="000000"/>
        <w:left w:val="single" w:sz="12" w:space="0" w:color="000000"/>
        <w:bottom w:val="single" w:sz="4" w:space="0" w:color="000000"/>
        <w:right w:val="single" w:sz="4" w:space="0" w:color="000000"/>
      </w:pBdr>
      <w:shd w:val="clear" w:color="000000" w:fill="FFFFFF"/>
      <w:spacing w:beforeAutospacing="1" w:afterAutospacing="1" w:line="240" w:lineRule="auto"/>
      <w:jc w:val="center"/>
    </w:pPr>
    <w:rPr>
      <w:rFonts w:ascii="Times New Roman" w:eastAsia="Times New Roman" w:hAnsi="Times New Roman" w:cs="Times New Roman"/>
      <w:b/>
      <w:bCs/>
      <w:color w:val="FF0000"/>
      <w:sz w:val="12"/>
      <w:szCs w:val="12"/>
      <w:lang w:val="en-GB" w:eastAsia="en-GB"/>
    </w:rPr>
  </w:style>
  <w:style w:type="paragraph" w:customStyle="1" w:styleId="xl145">
    <w:name w:val="xl145"/>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1F497D"/>
      <w:sz w:val="12"/>
      <w:szCs w:val="12"/>
      <w:lang w:val="en-GB" w:eastAsia="en-GB"/>
    </w:rPr>
  </w:style>
  <w:style w:type="paragraph" w:customStyle="1" w:styleId="xl146">
    <w:name w:val="xl146"/>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b/>
      <w:bCs/>
      <w:color w:val="1F497D"/>
      <w:sz w:val="12"/>
      <w:szCs w:val="12"/>
      <w:lang w:val="en-GB" w:eastAsia="en-GB"/>
    </w:rPr>
  </w:style>
  <w:style w:type="paragraph" w:customStyle="1" w:styleId="xl147">
    <w:name w:val="xl147"/>
    <w:basedOn w:val="Normln"/>
    <w:qFormat/>
    <w:rsid w:val="00807EEC"/>
    <w:pPr>
      <w:pBdr>
        <w:top w:val="single" w:sz="4" w:space="0" w:color="000000"/>
        <w:left w:val="single" w:sz="4" w:space="0" w:color="000000"/>
        <w:bottom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1F497D"/>
      <w:sz w:val="12"/>
      <w:szCs w:val="12"/>
      <w:lang w:val="en-GB" w:eastAsia="en-GB"/>
    </w:rPr>
  </w:style>
  <w:style w:type="paragraph" w:customStyle="1" w:styleId="xl148">
    <w:name w:val="xl148"/>
    <w:basedOn w:val="Normln"/>
    <w:qFormat/>
    <w:rsid w:val="00807EEC"/>
    <w:pPr>
      <w:pBdr>
        <w:top w:val="single" w:sz="4" w:space="0" w:color="000000"/>
        <w:left w:val="single" w:sz="12" w:space="0" w:color="000000"/>
        <w:bottom w:val="single" w:sz="4" w:space="0" w:color="000000"/>
        <w:right w:val="single" w:sz="12"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1F497D"/>
      <w:sz w:val="12"/>
      <w:szCs w:val="12"/>
      <w:lang w:val="en-GB" w:eastAsia="en-GB"/>
    </w:rPr>
  </w:style>
  <w:style w:type="paragraph" w:customStyle="1" w:styleId="xl149">
    <w:name w:val="xl149"/>
    <w:basedOn w:val="Normln"/>
    <w:qFormat/>
    <w:rsid w:val="00807EEC"/>
    <w:pPr>
      <w:pBdr>
        <w:top w:val="single" w:sz="4" w:space="0" w:color="000000"/>
        <w:bottom w:val="single" w:sz="4" w:space="0" w:color="000000"/>
        <w:right w:val="single" w:sz="4" w:space="0" w:color="000000"/>
      </w:pBdr>
      <w:shd w:val="clear" w:color="000000" w:fill="FFFFFF"/>
      <w:spacing w:beforeAutospacing="1" w:afterAutospacing="1" w:line="240" w:lineRule="auto"/>
      <w:jc w:val="center"/>
    </w:pPr>
    <w:rPr>
      <w:rFonts w:ascii="Times New Roman" w:eastAsia="Times New Roman" w:hAnsi="Times New Roman" w:cs="Times New Roman"/>
      <w:b/>
      <w:bCs/>
      <w:color w:val="1F497D"/>
      <w:sz w:val="12"/>
      <w:szCs w:val="12"/>
      <w:lang w:val="en-GB" w:eastAsia="en-GB"/>
    </w:rPr>
  </w:style>
  <w:style w:type="paragraph" w:customStyle="1" w:styleId="xl150">
    <w:name w:val="xl150"/>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jc w:val="center"/>
      <w:textAlignment w:val="center"/>
    </w:pPr>
    <w:rPr>
      <w:rFonts w:ascii="Times New Roman" w:eastAsia="Times New Roman" w:hAnsi="Times New Roman" w:cs="Times New Roman"/>
      <w:b/>
      <w:bCs/>
      <w:color w:val="1F497D"/>
      <w:sz w:val="12"/>
      <w:szCs w:val="12"/>
      <w:lang w:val="en-GB" w:eastAsia="en-GB"/>
    </w:rPr>
  </w:style>
  <w:style w:type="paragraph" w:customStyle="1" w:styleId="xl151">
    <w:name w:val="xl151"/>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jc w:val="center"/>
    </w:pPr>
    <w:rPr>
      <w:rFonts w:ascii="Times New Roman" w:eastAsia="Times New Roman" w:hAnsi="Times New Roman" w:cs="Times New Roman"/>
      <w:b/>
      <w:bCs/>
      <w:color w:val="1F497D"/>
      <w:sz w:val="12"/>
      <w:szCs w:val="12"/>
      <w:lang w:val="en-GB" w:eastAsia="en-GB"/>
    </w:rPr>
  </w:style>
  <w:style w:type="paragraph" w:customStyle="1" w:styleId="xl152">
    <w:name w:val="xl152"/>
    <w:basedOn w:val="Normln"/>
    <w:qFormat/>
    <w:rsid w:val="00807EEC"/>
    <w:pPr>
      <w:pBdr>
        <w:top w:val="single" w:sz="4" w:space="0" w:color="000000"/>
        <w:left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1F497D"/>
      <w:sz w:val="12"/>
      <w:szCs w:val="12"/>
      <w:lang w:val="en-GB" w:eastAsia="en-GB"/>
    </w:rPr>
  </w:style>
  <w:style w:type="paragraph" w:customStyle="1" w:styleId="xl153">
    <w:name w:val="xl153"/>
    <w:basedOn w:val="Normln"/>
    <w:qFormat/>
    <w:rsid w:val="00807EEC"/>
    <w:pPr>
      <w:pBdr>
        <w:top w:val="single" w:sz="4" w:space="0" w:color="000000"/>
        <w:left w:val="single" w:sz="4" w:space="0" w:color="000000"/>
        <w:bottom w:val="single" w:sz="4" w:space="0" w:color="000000"/>
        <w:right w:val="single" w:sz="12"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1F497D"/>
      <w:sz w:val="12"/>
      <w:szCs w:val="12"/>
      <w:lang w:val="en-GB" w:eastAsia="en-GB"/>
    </w:rPr>
  </w:style>
  <w:style w:type="paragraph" w:customStyle="1" w:styleId="xl154">
    <w:name w:val="xl154"/>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00B050"/>
      <w:sz w:val="12"/>
      <w:szCs w:val="12"/>
      <w:lang w:val="en-GB" w:eastAsia="en-GB"/>
    </w:rPr>
  </w:style>
  <w:style w:type="paragraph" w:customStyle="1" w:styleId="xl155">
    <w:name w:val="xl155"/>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b/>
      <w:bCs/>
      <w:color w:val="00B050"/>
      <w:sz w:val="12"/>
      <w:szCs w:val="12"/>
      <w:lang w:val="en-GB" w:eastAsia="en-GB"/>
    </w:rPr>
  </w:style>
  <w:style w:type="paragraph" w:customStyle="1" w:styleId="xl156">
    <w:name w:val="xl156"/>
    <w:basedOn w:val="Normln"/>
    <w:qFormat/>
    <w:rsid w:val="00807EEC"/>
    <w:pPr>
      <w:pBdr>
        <w:top w:val="single" w:sz="4" w:space="0" w:color="000000"/>
        <w:left w:val="single" w:sz="4" w:space="0" w:color="000000"/>
        <w:bottom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00B050"/>
      <w:sz w:val="12"/>
      <w:szCs w:val="12"/>
      <w:lang w:val="en-GB" w:eastAsia="en-GB"/>
    </w:rPr>
  </w:style>
  <w:style w:type="paragraph" w:customStyle="1" w:styleId="xl157">
    <w:name w:val="xl157"/>
    <w:basedOn w:val="Normln"/>
    <w:qFormat/>
    <w:rsid w:val="00807EEC"/>
    <w:pPr>
      <w:pBdr>
        <w:top w:val="single" w:sz="4" w:space="0" w:color="000000"/>
        <w:left w:val="single" w:sz="12" w:space="0" w:color="000000"/>
        <w:bottom w:val="single" w:sz="4" w:space="0" w:color="000000"/>
        <w:right w:val="single" w:sz="12"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00B050"/>
      <w:sz w:val="12"/>
      <w:szCs w:val="12"/>
      <w:lang w:val="en-GB" w:eastAsia="en-GB"/>
    </w:rPr>
  </w:style>
  <w:style w:type="paragraph" w:customStyle="1" w:styleId="xl158">
    <w:name w:val="xl158"/>
    <w:basedOn w:val="Normln"/>
    <w:qFormat/>
    <w:rsid w:val="00807EEC"/>
    <w:pPr>
      <w:pBdr>
        <w:top w:val="single" w:sz="4" w:space="0" w:color="000000"/>
        <w:left w:val="single" w:sz="12" w:space="0" w:color="000000"/>
        <w:bottom w:val="single" w:sz="4" w:space="0" w:color="000000"/>
        <w:right w:val="single" w:sz="4" w:space="0" w:color="000000"/>
      </w:pBdr>
      <w:shd w:val="clear" w:color="000000" w:fill="FFFFFF"/>
      <w:spacing w:beforeAutospacing="1" w:afterAutospacing="1" w:line="240" w:lineRule="auto"/>
      <w:jc w:val="center"/>
    </w:pPr>
    <w:rPr>
      <w:rFonts w:ascii="Times New Roman" w:eastAsia="Times New Roman" w:hAnsi="Times New Roman" w:cs="Times New Roman"/>
      <w:b/>
      <w:bCs/>
      <w:color w:val="00B050"/>
      <w:sz w:val="12"/>
      <w:szCs w:val="12"/>
      <w:lang w:val="en-GB" w:eastAsia="en-GB"/>
    </w:rPr>
  </w:style>
  <w:style w:type="paragraph" w:customStyle="1" w:styleId="xl159">
    <w:name w:val="xl159"/>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jc w:val="center"/>
      <w:textAlignment w:val="center"/>
    </w:pPr>
    <w:rPr>
      <w:rFonts w:ascii="Times New Roman" w:eastAsia="Times New Roman" w:hAnsi="Times New Roman" w:cs="Times New Roman"/>
      <w:b/>
      <w:bCs/>
      <w:color w:val="00B050"/>
      <w:sz w:val="12"/>
      <w:szCs w:val="12"/>
      <w:lang w:val="en-GB" w:eastAsia="en-GB"/>
    </w:rPr>
  </w:style>
  <w:style w:type="paragraph" w:customStyle="1" w:styleId="xl160">
    <w:name w:val="xl160"/>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jc w:val="center"/>
    </w:pPr>
    <w:rPr>
      <w:rFonts w:ascii="Times New Roman" w:eastAsia="Times New Roman" w:hAnsi="Times New Roman" w:cs="Times New Roman"/>
      <w:b/>
      <w:bCs/>
      <w:color w:val="00B050"/>
      <w:sz w:val="12"/>
      <w:szCs w:val="12"/>
      <w:lang w:val="en-GB" w:eastAsia="en-GB"/>
    </w:rPr>
  </w:style>
  <w:style w:type="paragraph" w:customStyle="1" w:styleId="xl161">
    <w:name w:val="xl161"/>
    <w:basedOn w:val="Normln"/>
    <w:qFormat/>
    <w:rsid w:val="00807EEC"/>
    <w:pPr>
      <w:pBdr>
        <w:top w:val="single" w:sz="4" w:space="0" w:color="000000"/>
        <w:left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00B050"/>
      <w:sz w:val="12"/>
      <w:szCs w:val="12"/>
      <w:lang w:val="en-GB" w:eastAsia="en-GB"/>
    </w:rPr>
  </w:style>
  <w:style w:type="paragraph" w:customStyle="1" w:styleId="xl162">
    <w:name w:val="xl162"/>
    <w:basedOn w:val="Normln"/>
    <w:qFormat/>
    <w:rsid w:val="00807EEC"/>
    <w:pPr>
      <w:pBdr>
        <w:top w:val="single" w:sz="4" w:space="0" w:color="000000"/>
        <w:left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b/>
      <w:bCs/>
      <w:color w:val="00B050"/>
      <w:sz w:val="12"/>
      <w:szCs w:val="12"/>
      <w:lang w:val="en-GB" w:eastAsia="en-GB"/>
    </w:rPr>
  </w:style>
  <w:style w:type="paragraph" w:customStyle="1" w:styleId="xl163">
    <w:name w:val="xl163"/>
    <w:basedOn w:val="Normln"/>
    <w:qFormat/>
    <w:rsid w:val="00807EEC"/>
    <w:pPr>
      <w:pBdr>
        <w:top w:val="single" w:sz="4" w:space="0" w:color="000000"/>
        <w:lef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00B050"/>
      <w:sz w:val="12"/>
      <w:szCs w:val="12"/>
      <w:lang w:val="en-GB" w:eastAsia="en-GB"/>
    </w:rPr>
  </w:style>
  <w:style w:type="paragraph" w:customStyle="1" w:styleId="xl164">
    <w:name w:val="xl164"/>
    <w:basedOn w:val="Normln"/>
    <w:qFormat/>
    <w:rsid w:val="00807EEC"/>
    <w:pPr>
      <w:pBdr>
        <w:top w:val="single" w:sz="4" w:space="0" w:color="000000"/>
        <w:left w:val="single" w:sz="12" w:space="0" w:color="000000"/>
        <w:bottom w:val="single" w:sz="12" w:space="0" w:color="000000"/>
        <w:right w:val="single" w:sz="12"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color w:val="00B050"/>
      <w:sz w:val="12"/>
      <w:szCs w:val="12"/>
      <w:lang w:val="en-GB" w:eastAsia="en-GB"/>
    </w:rPr>
  </w:style>
  <w:style w:type="paragraph" w:customStyle="1" w:styleId="xl165">
    <w:name w:val="xl165"/>
    <w:basedOn w:val="Normln"/>
    <w:qFormat/>
    <w:rsid w:val="00807EEC"/>
    <w:pPr>
      <w:pBdr>
        <w:top w:val="single" w:sz="4" w:space="0" w:color="000000"/>
        <w:left w:val="single" w:sz="12" w:space="0" w:color="000000"/>
        <w:bottom w:val="single" w:sz="8" w:space="0" w:color="000000"/>
        <w:right w:val="single" w:sz="4" w:space="0" w:color="000000"/>
      </w:pBdr>
      <w:shd w:val="clear" w:color="000000" w:fill="FFFFFF"/>
      <w:spacing w:beforeAutospacing="1" w:afterAutospacing="1" w:line="240" w:lineRule="auto"/>
      <w:jc w:val="center"/>
    </w:pPr>
    <w:rPr>
      <w:rFonts w:ascii="Times New Roman" w:eastAsia="Times New Roman" w:hAnsi="Times New Roman" w:cs="Times New Roman"/>
      <w:b/>
      <w:bCs/>
      <w:color w:val="00B050"/>
      <w:sz w:val="12"/>
      <w:szCs w:val="12"/>
      <w:lang w:val="en-GB" w:eastAsia="en-GB"/>
    </w:rPr>
  </w:style>
  <w:style w:type="paragraph" w:customStyle="1" w:styleId="xl166">
    <w:name w:val="xl166"/>
    <w:basedOn w:val="Normln"/>
    <w:qFormat/>
    <w:rsid w:val="00807EEC"/>
    <w:pPr>
      <w:pBdr>
        <w:top w:val="single" w:sz="4" w:space="0" w:color="000000"/>
        <w:left w:val="single" w:sz="4" w:space="0" w:color="000000"/>
        <w:right w:val="single" w:sz="4" w:space="0" w:color="000000"/>
      </w:pBdr>
      <w:shd w:val="clear" w:color="000000" w:fill="FFFFFF"/>
      <w:spacing w:beforeAutospacing="1" w:afterAutospacing="1" w:line="240" w:lineRule="auto"/>
      <w:jc w:val="center"/>
      <w:textAlignment w:val="center"/>
    </w:pPr>
    <w:rPr>
      <w:rFonts w:ascii="Times New Roman" w:eastAsia="Times New Roman" w:hAnsi="Times New Roman" w:cs="Times New Roman"/>
      <w:b/>
      <w:bCs/>
      <w:color w:val="00B050"/>
      <w:sz w:val="12"/>
      <w:szCs w:val="12"/>
      <w:lang w:val="en-GB" w:eastAsia="en-GB"/>
    </w:rPr>
  </w:style>
  <w:style w:type="paragraph" w:customStyle="1" w:styleId="xl167">
    <w:name w:val="xl167"/>
    <w:basedOn w:val="Normln"/>
    <w:qFormat/>
    <w:rsid w:val="00807EEC"/>
    <w:pPr>
      <w:pBdr>
        <w:top w:val="single" w:sz="4" w:space="0" w:color="000000"/>
        <w:left w:val="single" w:sz="4" w:space="0" w:color="000000"/>
        <w:bottom w:val="single" w:sz="8" w:space="0" w:color="000000"/>
        <w:right w:val="single" w:sz="4" w:space="0" w:color="000000"/>
      </w:pBdr>
      <w:shd w:val="clear" w:color="000000" w:fill="FFFFFF"/>
      <w:spacing w:beforeAutospacing="1" w:afterAutospacing="1" w:line="240" w:lineRule="auto"/>
      <w:jc w:val="center"/>
    </w:pPr>
    <w:rPr>
      <w:rFonts w:ascii="Times New Roman" w:eastAsia="Times New Roman" w:hAnsi="Times New Roman" w:cs="Times New Roman"/>
      <w:b/>
      <w:bCs/>
      <w:color w:val="00B050"/>
      <w:sz w:val="12"/>
      <w:szCs w:val="12"/>
      <w:lang w:val="en-GB" w:eastAsia="en-GB"/>
    </w:rPr>
  </w:style>
  <w:style w:type="paragraph" w:customStyle="1" w:styleId="xl168">
    <w:name w:val="xl168"/>
    <w:basedOn w:val="Normln"/>
    <w:qFormat/>
    <w:rsid w:val="00807EEC"/>
    <w:pPr>
      <w:pBdr>
        <w:top w:val="single" w:sz="8" w:space="0" w:color="000000"/>
        <w:left w:val="single" w:sz="4" w:space="0" w:color="000000"/>
        <w:bottom w:val="single" w:sz="8"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69">
    <w:name w:val="xl169"/>
    <w:basedOn w:val="Normln"/>
    <w:qFormat/>
    <w:rsid w:val="00807EEC"/>
    <w:pPr>
      <w:pBdr>
        <w:top w:val="single" w:sz="8" w:space="0" w:color="000000"/>
        <w:left w:val="single" w:sz="4" w:space="0" w:color="000000"/>
        <w:bottom w:val="single" w:sz="8" w:space="0" w:color="000000"/>
      </w:pBdr>
      <w:spacing w:beforeAutospacing="1" w:afterAutospacing="1" w:line="240" w:lineRule="auto"/>
      <w:textAlignment w:val="center"/>
    </w:pPr>
    <w:rPr>
      <w:rFonts w:ascii="Times New Roman" w:eastAsia="Times New Roman" w:hAnsi="Times New Roman" w:cs="Times New Roman"/>
      <w:color w:val="000000"/>
      <w:sz w:val="12"/>
      <w:szCs w:val="12"/>
      <w:lang w:val="en-GB" w:eastAsia="en-GB"/>
    </w:rPr>
  </w:style>
  <w:style w:type="paragraph" w:customStyle="1" w:styleId="xl170">
    <w:name w:val="xl170"/>
    <w:basedOn w:val="Normln"/>
    <w:qFormat/>
    <w:rsid w:val="00807EEC"/>
    <w:pPr>
      <w:pBdr>
        <w:top w:val="single" w:sz="8" w:space="0" w:color="000000"/>
        <w:bottom w:val="single" w:sz="8"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71">
    <w:name w:val="xl171"/>
    <w:basedOn w:val="Normln"/>
    <w:qFormat/>
    <w:rsid w:val="00807EEC"/>
    <w:pPr>
      <w:pBdr>
        <w:right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72">
    <w:name w:val="xl172"/>
    <w:basedOn w:val="Normln"/>
    <w:qFormat/>
    <w:rsid w:val="00807EEC"/>
    <w:pPr>
      <w:pBdr>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73">
    <w:name w:val="xl173"/>
    <w:basedOn w:val="Normln"/>
    <w:qFormat/>
    <w:rsid w:val="00807EEC"/>
    <w:pPr>
      <w:pBdr>
        <w:top w:val="single" w:sz="8"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74">
    <w:name w:val="xl174"/>
    <w:basedOn w:val="Normln"/>
    <w:qFormat/>
    <w:rsid w:val="00807EEC"/>
    <w:pPr>
      <w:pBdr>
        <w:top w:val="single" w:sz="8" w:space="0" w:color="000000"/>
        <w:lef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75">
    <w:name w:val="xl175"/>
    <w:basedOn w:val="Normln"/>
    <w:qFormat/>
    <w:rsid w:val="00807EEC"/>
    <w:pPr>
      <w:pBdr>
        <w:top w:val="single" w:sz="8" w:space="0" w:color="000000"/>
        <w:bottom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76">
    <w:name w:val="xl176"/>
    <w:basedOn w:val="Normln"/>
    <w:qFormat/>
    <w:rsid w:val="00807EEC"/>
    <w:pPr>
      <w:pBdr>
        <w:top w:val="single" w:sz="8" w:space="0" w:color="000000"/>
        <w:bottom w:val="single" w:sz="4" w:space="0" w:color="000000"/>
        <w:right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77">
    <w:name w:val="xl177"/>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78">
    <w:name w:val="xl178"/>
    <w:basedOn w:val="Normln"/>
    <w:qFormat/>
    <w:rsid w:val="00807EEC"/>
    <w:pPr>
      <w:pBdr>
        <w:top w:val="single" w:sz="4" w:space="0" w:color="000000"/>
        <w:lef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79">
    <w:name w:val="xl179"/>
    <w:basedOn w:val="Normln"/>
    <w:qFormat/>
    <w:rsid w:val="00807EEC"/>
    <w:pPr>
      <w:pBdr>
        <w:top w:val="single" w:sz="4" w:space="0" w:color="000000"/>
        <w:bottom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80">
    <w:name w:val="xl180"/>
    <w:basedOn w:val="Normln"/>
    <w:qFormat/>
    <w:rsid w:val="00807EEC"/>
    <w:pPr>
      <w:pBdr>
        <w:top w:val="single" w:sz="4" w:space="0" w:color="000000"/>
        <w:bottom w:val="single" w:sz="4" w:space="0" w:color="000000"/>
        <w:right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81">
    <w:name w:val="xl181"/>
    <w:basedOn w:val="Normln"/>
    <w:qFormat/>
    <w:rsid w:val="00807EEC"/>
    <w:pPr>
      <w:pBdr>
        <w:top w:val="single" w:sz="4" w:space="0" w:color="000000"/>
        <w:left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82">
    <w:name w:val="xl182"/>
    <w:basedOn w:val="Normln"/>
    <w:qFormat/>
    <w:rsid w:val="00807EEC"/>
    <w:pPr>
      <w:pBdr>
        <w:top w:val="single" w:sz="4" w:space="0" w:color="000000"/>
        <w:left w:val="single" w:sz="4" w:space="0" w:color="000000"/>
        <w:bottom w:val="single" w:sz="8"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83">
    <w:name w:val="xl183"/>
    <w:basedOn w:val="Normln"/>
    <w:qFormat/>
    <w:rsid w:val="00807EEC"/>
    <w:pPr>
      <w:pBdr>
        <w:top w:val="single" w:sz="4" w:space="0" w:color="000000"/>
        <w:left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84">
    <w:name w:val="xl184"/>
    <w:basedOn w:val="Normln"/>
    <w:qFormat/>
    <w:rsid w:val="00807EEC"/>
    <w:pPr>
      <w:pBdr>
        <w:top w:val="single" w:sz="4" w:space="0" w:color="000000"/>
        <w:bottom w:val="single" w:sz="8"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85">
    <w:name w:val="xl185"/>
    <w:basedOn w:val="Normln"/>
    <w:qFormat/>
    <w:rsid w:val="00807EEC"/>
    <w:pPr>
      <w:pBdr>
        <w:top w:val="single" w:sz="4" w:space="0" w:color="000000"/>
        <w:bottom w:val="single" w:sz="8" w:space="0" w:color="000000"/>
        <w:right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86">
    <w:name w:val="xl186"/>
    <w:basedOn w:val="Normln"/>
    <w:qFormat/>
    <w:rsid w:val="00807EEC"/>
    <w:pPr>
      <w:pBdr>
        <w:top w:val="single" w:sz="8" w:space="0" w:color="000000"/>
        <w:left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87">
    <w:name w:val="xl187"/>
    <w:basedOn w:val="Normln"/>
    <w:qFormat/>
    <w:rsid w:val="00807EEC"/>
    <w:pPr>
      <w:pBdr>
        <w:bottom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88">
    <w:name w:val="xl188"/>
    <w:basedOn w:val="Normln"/>
    <w:qFormat/>
    <w:rsid w:val="00807EEC"/>
    <w:pPr>
      <w:pBdr>
        <w:top w:val="single" w:sz="4" w:space="0" w:color="000000"/>
        <w:left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89">
    <w:name w:val="xl189"/>
    <w:basedOn w:val="Normln"/>
    <w:qFormat/>
    <w:rsid w:val="00807EEC"/>
    <w:pPr>
      <w:pBdr>
        <w:top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90">
    <w:name w:val="xl190"/>
    <w:basedOn w:val="Normln"/>
    <w:qFormat/>
    <w:rsid w:val="00807EEC"/>
    <w:pPr>
      <w:pBdr>
        <w:top w:val="single" w:sz="4" w:space="0" w:color="000000"/>
        <w:lef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91">
    <w:name w:val="xl191"/>
    <w:basedOn w:val="Normln"/>
    <w:qFormat/>
    <w:rsid w:val="00807EEC"/>
    <w:pPr>
      <w:pBdr>
        <w:top w:val="single" w:sz="8" w:space="0" w:color="000000"/>
        <w:left w:val="single" w:sz="4" w:space="0" w:color="000000"/>
        <w:bottom w:val="single" w:sz="4" w:space="0" w:color="000000"/>
        <w:right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92">
    <w:name w:val="xl192"/>
    <w:basedOn w:val="Normln"/>
    <w:qFormat/>
    <w:rsid w:val="00807EEC"/>
    <w:pPr>
      <w:pBdr>
        <w:top w:val="single" w:sz="8" w:space="0" w:color="000000"/>
        <w:left w:val="single" w:sz="4" w:space="0" w:color="000000"/>
        <w:bottom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93">
    <w:name w:val="xl193"/>
    <w:basedOn w:val="Normln"/>
    <w:qFormat/>
    <w:rsid w:val="00807EEC"/>
    <w:pPr>
      <w:pBdr>
        <w:top w:val="single" w:sz="4" w:space="0" w:color="000000"/>
        <w:left w:val="single" w:sz="4" w:space="0" w:color="000000"/>
        <w:bottom w:val="single" w:sz="4" w:space="0" w:color="000000"/>
        <w:right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b/>
      <w:bCs/>
      <w:sz w:val="12"/>
      <w:szCs w:val="12"/>
      <w:lang w:val="en-GB" w:eastAsia="en-GB"/>
    </w:rPr>
  </w:style>
  <w:style w:type="paragraph" w:customStyle="1" w:styleId="xl194">
    <w:name w:val="xl194"/>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95">
    <w:name w:val="xl195"/>
    <w:basedOn w:val="Normln"/>
    <w:qFormat/>
    <w:rsid w:val="00807EEC"/>
    <w:pPr>
      <w:pBdr>
        <w:top w:val="single" w:sz="4" w:space="0" w:color="000000"/>
        <w:left w:val="single" w:sz="4" w:space="0" w:color="000000"/>
        <w:bottom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96">
    <w:name w:val="xl196"/>
    <w:basedOn w:val="Normln"/>
    <w:qFormat/>
    <w:rsid w:val="00807EEC"/>
    <w:pPr>
      <w:pBdr>
        <w:top w:val="single" w:sz="4" w:space="0" w:color="000000"/>
        <w:left w:val="single" w:sz="4" w:space="0" w:color="000000"/>
        <w:bottom w:val="single" w:sz="4" w:space="0" w:color="000000"/>
        <w:right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97">
    <w:name w:val="xl197"/>
    <w:basedOn w:val="Normln"/>
    <w:qFormat/>
    <w:rsid w:val="00807EEC"/>
    <w:pPr>
      <w:pBdr>
        <w:top w:val="single" w:sz="4" w:space="0" w:color="000000"/>
        <w:left w:val="single" w:sz="4" w:space="0" w:color="000000"/>
        <w:bottom w:val="single" w:sz="8" w:space="0" w:color="000000"/>
        <w:right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198">
    <w:name w:val="xl198"/>
    <w:basedOn w:val="Normln"/>
    <w:qFormat/>
    <w:rsid w:val="00807EEC"/>
    <w:pPr>
      <w:pBdr>
        <w:top w:val="single" w:sz="4" w:space="0" w:color="000000"/>
        <w:left w:val="single" w:sz="4" w:space="0" w:color="000000"/>
        <w:bottom w:val="single" w:sz="8"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199">
    <w:name w:val="xl199"/>
    <w:basedOn w:val="Normln"/>
    <w:qFormat/>
    <w:rsid w:val="00807EEC"/>
    <w:pPr>
      <w:pBdr>
        <w:left w:val="single" w:sz="4" w:space="0" w:color="000000"/>
        <w:bottom w:val="single" w:sz="4" w:space="0" w:color="000000"/>
        <w:right w:val="single" w:sz="4" w:space="0" w:color="000000"/>
      </w:pBdr>
      <w:shd w:val="clear" w:color="000000" w:fill="DCE6F1"/>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00">
    <w:name w:val="xl200"/>
    <w:basedOn w:val="Normln"/>
    <w:qFormat/>
    <w:rsid w:val="00807EEC"/>
    <w:pPr>
      <w:pBdr>
        <w:top w:val="single" w:sz="4" w:space="0" w:color="000000"/>
        <w:left w:val="single" w:sz="4" w:space="0" w:color="000000"/>
        <w:bottom w:val="single" w:sz="4" w:space="0" w:color="000000"/>
        <w:right w:val="single" w:sz="4" w:space="0" w:color="000000"/>
      </w:pBdr>
      <w:shd w:val="clear" w:color="000000" w:fill="DCE6F1"/>
      <w:spacing w:beforeAutospacing="1" w:afterAutospacing="1" w:line="240" w:lineRule="auto"/>
      <w:textAlignment w:val="center"/>
    </w:pPr>
    <w:rPr>
      <w:rFonts w:ascii="Times New Roman" w:eastAsia="Times New Roman" w:hAnsi="Times New Roman" w:cs="Times New Roman"/>
      <w:b/>
      <w:bCs/>
      <w:sz w:val="12"/>
      <w:szCs w:val="12"/>
      <w:lang w:val="en-GB" w:eastAsia="en-GB"/>
    </w:rPr>
  </w:style>
  <w:style w:type="paragraph" w:customStyle="1" w:styleId="xl201">
    <w:name w:val="xl201"/>
    <w:basedOn w:val="Normln"/>
    <w:qFormat/>
    <w:rsid w:val="00807EEC"/>
    <w:pPr>
      <w:pBdr>
        <w:top w:val="single" w:sz="4" w:space="0" w:color="000000"/>
        <w:left w:val="single" w:sz="4" w:space="0" w:color="000000"/>
        <w:bottom w:val="single" w:sz="4" w:space="0" w:color="000000"/>
        <w:right w:val="single" w:sz="4" w:space="0" w:color="000000"/>
      </w:pBdr>
      <w:shd w:val="clear" w:color="000000" w:fill="DCE6F1"/>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02">
    <w:name w:val="xl202"/>
    <w:basedOn w:val="Normln"/>
    <w:qFormat/>
    <w:rsid w:val="00807EEC"/>
    <w:pPr>
      <w:pBdr>
        <w:top w:val="single" w:sz="4" w:space="0" w:color="000000"/>
        <w:left w:val="single" w:sz="4" w:space="0" w:color="000000"/>
        <w:right w:val="single" w:sz="4" w:space="0" w:color="000000"/>
      </w:pBdr>
      <w:shd w:val="clear" w:color="000000" w:fill="DCE6F1"/>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03">
    <w:name w:val="xl203"/>
    <w:basedOn w:val="Normln"/>
    <w:qFormat/>
    <w:rsid w:val="00807EEC"/>
    <w:pPr>
      <w:pBdr>
        <w:top w:val="single" w:sz="4" w:space="0" w:color="000000"/>
        <w:left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04">
    <w:name w:val="xl204"/>
    <w:basedOn w:val="Normln"/>
    <w:qFormat/>
    <w:rsid w:val="00807EEC"/>
    <w:pPr>
      <w:pBdr>
        <w:top w:val="single" w:sz="8" w:space="0" w:color="000000"/>
        <w:left w:val="single" w:sz="4" w:space="0" w:color="000000"/>
        <w:bottom w:val="single" w:sz="4" w:space="0" w:color="000000"/>
        <w:right w:val="single" w:sz="4" w:space="0" w:color="000000"/>
      </w:pBdr>
      <w:shd w:val="clear" w:color="000000" w:fill="F2DCDB"/>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05">
    <w:name w:val="xl205"/>
    <w:basedOn w:val="Normln"/>
    <w:qFormat/>
    <w:rsid w:val="00807EEC"/>
    <w:pPr>
      <w:pBdr>
        <w:top w:val="single" w:sz="4" w:space="0" w:color="000000"/>
        <w:left w:val="single" w:sz="4" w:space="0" w:color="000000"/>
        <w:bottom w:val="single" w:sz="4" w:space="0" w:color="000000"/>
        <w:right w:val="single" w:sz="4" w:space="0" w:color="000000"/>
      </w:pBdr>
      <w:shd w:val="clear" w:color="000000" w:fill="F2DCDB"/>
      <w:spacing w:beforeAutospacing="1" w:afterAutospacing="1" w:line="240" w:lineRule="auto"/>
      <w:textAlignment w:val="center"/>
    </w:pPr>
    <w:rPr>
      <w:rFonts w:ascii="Times New Roman" w:eastAsia="Times New Roman" w:hAnsi="Times New Roman" w:cs="Times New Roman"/>
      <w:b/>
      <w:bCs/>
      <w:sz w:val="12"/>
      <w:szCs w:val="12"/>
      <w:lang w:val="en-GB" w:eastAsia="en-GB"/>
    </w:rPr>
  </w:style>
  <w:style w:type="paragraph" w:customStyle="1" w:styleId="xl206">
    <w:name w:val="xl206"/>
    <w:basedOn w:val="Normln"/>
    <w:qFormat/>
    <w:rsid w:val="00807EEC"/>
    <w:pPr>
      <w:pBdr>
        <w:top w:val="single" w:sz="4" w:space="0" w:color="000000"/>
        <w:left w:val="single" w:sz="4" w:space="0" w:color="000000"/>
        <w:bottom w:val="single" w:sz="4" w:space="0" w:color="000000"/>
        <w:right w:val="single" w:sz="4" w:space="0" w:color="000000"/>
      </w:pBdr>
      <w:shd w:val="clear" w:color="000000" w:fill="F2DCDB"/>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07">
    <w:name w:val="xl207"/>
    <w:basedOn w:val="Normln"/>
    <w:qFormat/>
    <w:rsid w:val="00807EEC"/>
    <w:pPr>
      <w:pBdr>
        <w:top w:val="single" w:sz="4" w:space="0" w:color="000000"/>
        <w:left w:val="single" w:sz="4" w:space="0" w:color="000000"/>
        <w:bottom w:val="single" w:sz="8" w:space="0" w:color="000000"/>
        <w:right w:val="single" w:sz="4" w:space="0" w:color="000000"/>
      </w:pBdr>
      <w:shd w:val="clear" w:color="000000" w:fill="F2DCDB"/>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08">
    <w:name w:val="xl208"/>
    <w:basedOn w:val="Normln"/>
    <w:qFormat/>
    <w:rsid w:val="00807EEC"/>
    <w:pPr>
      <w:pBdr>
        <w:left w:val="single" w:sz="4" w:space="0" w:color="000000"/>
        <w:bottom w:val="single" w:sz="4" w:space="0" w:color="000000"/>
        <w:right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09">
    <w:name w:val="xl209"/>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10">
    <w:name w:val="xl210"/>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11">
    <w:name w:val="xl211"/>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12">
    <w:name w:val="xl212"/>
    <w:basedOn w:val="Normln"/>
    <w:qFormat/>
    <w:rsid w:val="00807EEC"/>
    <w:pPr>
      <w:pBdr>
        <w:top w:val="single" w:sz="4" w:space="0" w:color="000000"/>
        <w:left w:val="single" w:sz="4" w:space="0" w:color="000000"/>
        <w:bottom w:val="single" w:sz="4" w:space="0" w:color="000000"/>
        <w:right w:val="single" w:sz="4" w:space="0" w:color="000000"/>
      </w:pBdr>
      <w:shd w:val="clear" w:color="000000" w:fill="FF0000"/>
      <w:spacing w:beforeAutospacing="1" w:afterAutospacing="1" w:line="240" w:lineRule="auto"/>
      <w:textAlignment w:val="center"/>
    </w:pPr>
    <w:rPr>
      <w:rFonts w:ascii="Times New Roman" w:eastAsia="Times New Roman" w:hAnsi="Times New Roman" w:cs="Times New Roman"/>
      <w:color w:val="FFFFFF"/>
      <w:sz w:val="12"/>
      <w:szCs w:val="12"/>
      <w:lang w:val="en-GB" w:eastAsia="en-GB"/>
    </w:rPr>
  </w:style>
  <w:style w:type="paragraph" w:customStyle="1" w:styleId="xl213">
    <w:name w:val="xl213"/>
    <w:basedOn w:val="Normln"/>
    <w:qFormat/>
    <w:rsid w:val="00807EEC"/>
    <w:pPr>
      <w:pBdr>
        <w:top w:val="single" w:sz="4" w:space="0" w:color="000000"/>
        <w:left w:val="single" w:sz="4" w:space="0" w:color="000000"/>
        <w:bottom w:val="single" w:sz="4" w:space="0" w:color="000000"/>
        <w:right w:val="single" w:sz="4" w:space="0" w:color="000000"/>
      </w:pBdr>
      <w:shd w:val="clear" w:color="000000" w:fill="EBF1DE"/>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14">
    <w:name w:val="xl214"/>
    <w:basedOn w:val="Normln"/>
    <w:qFormat/>
    <w:rsid w:val="00807EEC"/>
    <w:pPr>
      <w:pBdr>
        <w:top w:val="single" w:sz="4" w:space="0" w:color="000000"/>
        <w:left w:val="single" w:sz="4" w:space="0" w:color="000000"/>
        <w:bottom w:val="single" w:sz="4" w:space="0" w:color="000000"/>
        <w:right w:val="single" w:sz="4" w:space="0" w:color="000000"/>
      </w:pBdr>
      <w:shd w:val="clear" w:color="000000" w:fill="000000"/>
      <w:spacing w:beforeAutospacing="1" w:afterAutospacing="1" w:line="240" w:lineRule="auto"/>
    </w:pPr>
    <w:rPr>
      <w:rFonts w:ascii="Times New Roman" w:eastAsia="Times New Roman" w:hAnsi="Times New Roman" w:cs="Times New Roman"/>
      <w:color w:val="FFFFFF"/>
      <w:sz w:val="12"/>
      <w:szCs w:val="12"/>
      <w:lang w:val="en-GB" w:eastAsia="en-GB"/>
    </w:rPr>
  </w:style>
  <w:style w:type="paragraph" w:customStyle="1" w:styleId="xl215">
    <w:name w:val="xl215"/>
    <w:basedOn w:val="Normln"/>
    <w:qFormat/>
    <w:rsid w:val="00807EEC"/>
    <w:pPr>
      <w:pBdr>
        <w:top w:val="single" w:sz="4" w:space="0" w:color="000000"/>
        <w:left w:val="single" w:sz="4" w:space="0" w:color="000000"/>
        <w:bottom w:val="single" w:sz="4" w:space="0" w:color="000000"/>
        <w:right w:val="single" w:sz="4" w:space="0" w:color="000000"/>
      </w:pBdr>
      <w:shd w:val="clear" w:color="000000" w:fill="FFFF00"/>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16">
    <w:name w:val="xl216"/>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17">
    <w:name w:val="xl217"/>
    <w:basedOn w:val="Normln"/>
    <w:qFormat/>
    <w:rsid w:val="00807EEC"/>
    <w:pPr>
      <w:pBdr>
        <w:top w:val="single" w:sz="4" w:space="0" w:color="000000"/>
        <w:left w:val="single" w:sz="4" w:space="0" w:color="000000"/>
        <w:bottom w:val="single" w:sz="4" w:space="0" w:color="000000"/>
        <w:right w:val="single" w:sz="4" w:space="0" w:color="000000"/>
      </w:pBdr>
      <w:shd w:val="clear" w:color="000000" w:fill="0000FF"/>
      <w:spacing w:beforeAutospacing="1" w:afterAutospacing="1" w:line="240" w:lineRule="auto"/>
      <w:textAlignment w:val="center"/>
    </w:pPr>
    <w:rPr>
      <w:rFonts w:ascii="Times New Roman" w:eastAsia="Times New Roman" w:hAnsi="Times New Roman" w:cs="Times New Roman"/>
      <w:color w:val="FFFFFF"/>
      <w:sz w:val="12"/>
      <w:szCs w:val="12"/>
      <w:lang w:val="en-GB" w:eastAsia="en-GB"/>
    </w:rPr>
  </w:style>
  <w:style w:type="paragraph" w:customStyle="1" w:styleId="xl218">
    <w:name w:val="xl218"/>
    <w:basedOn w:val="Normln"/>
    <w:qFormat/>
    <w:rsid w:val="00807EEC"/>
    <w:pPr>
      <w:pBdr>
        <w:top w:val="single" w:sz="4" w:space="0" w:color="000000"/>
        <w:left w:val="single" w:sz="4" w:space="0" w:color="000000"/>
        <w:bottom w:val="single" w:sz="4" w:space="0" w:color="000000"/>
        <w:right w:val="single" w:sz="4" w:space="0" w:color="000000"/>
      </w:pBdr>
      <w:shd w:val="clear" w:color="000000" w:fill="D9D9D9"/>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19">
    <w:name w:val="xl219"/>
    <w:basedOn w:val="Normln"/>
    <w:qFormat/>
    <w:rsid w:val="00807EEC"/>
    <w:pPr>
      <w:pBdr>
        <w:top w:val="single" w:sz="4" w:space="0" w:color="000000"/>
        <w:left w:val="single" w:sz="4" w:space="0" w:color="000000"/>
        <w:bottom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20">
    <w:name w:val="xl220"/>
    <w:basedOn w:val="Normln"/>
    <w:qFormat/>
    <w:rsid w:val="00807EEC"/>
    <w:pPr>
      <w:pBdr>
        <w:top w:val="single" w:sz="4" w:space="0" w:color="000000"/>
        <w:bottom w:val="single" w:sz="4" w:space="0" w:color="000000"/>
        <w:right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21">
    <w:name w:val="xl221"/>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color w:val="000000"/>
      <w:sz w:val="12"/>
      <w:szCs w:val="12"/>
      <w:lang w:val="en-GB" w:eastAsia="en-GB"/>
    </w:rPr>
  </w:style>
  <w:style w:type="paragraph" w:customStyle="1" w:styleId="xl222">
    <w:name w:val="xl222"/>
    <w:basedOn w:val="Normln"/>
    <w:qFormat/>
    <w:rsid w:val="00807EEC"/>
    <w:pPr>
      <w:pBdr>
        <w:top w:val="single" w:sz="4" w:space="0" w:color="000000"/>
        <w:left w:val="single" w:sz="4" w:space="0" w:color="000000"/>
        <w:bottom w:val="single" w:sz="4" w:space="0" w:color="000000"/>
        <w:right w:val="single" w:sz="4" w:space="0" w:color="000000"/>
      </w:pBdr>
      <w:shd w:val="clear" w:color="000000" w:fill="FF0000"/>
      <w:spacing w:beforeAutospacing="1" w:afterAutospacing="1" w:line="240" w:lineRule="auto"/>
      <w:textAlignment w:val="center"/>
    </w:pPr>
    <w:rPr>
      <w:rFonts w:ascii="Times New Roman" w:eastAsia="Times New Roman" w:hAnsi="Times New Roman" w:cs="Times New Roman"/>
      <w:color w:val="FFFFFF"/>
      <w:sz w:val="12"/>
      <w:szCs w:val="12"/>
      <w:lang w:val="en-GB" w:eastAsia="en-GB"/>
    </w:rPr>
  </w:style>
  <w:style w:type="paragraph" w:customStyle="1" w:styleId="xl223">
    <w:name w:val="xl223"/>
    <w:basedOn w:val="Normln"/>
    <w:qFormat/>
    <w:rsid w:val="00807EEC"/>
    <w:pPr>
      <w:pBdr>
        <w:top w:val="single" w:sz="4" w:space="0" w:color="000000"/>
        <w:left w:val="single" w:sz="4" w:space="0" w:color="000000"/>
        <w:bottom w:val="single" w:sz="4" w:space="0" w:color="000000"/>
        <w:right w:val="single" w:sz="4" w:space="0" w:color="000000"/>
      </w:pBdr>
      <w:shd w:val="clear" w:color="000000" w:fill="000000"/>
      <w:spacing w:beforeAutospacing="1" w:afterAutospacing="1" w:line="240" w:lineRule="auto"/>
      <w:textAlignment w:val="center"/>
    </w:pPr>
    <w:rPr>
      <w:rFonts w:ascii="Times New Roman" w:eastAsia="Times New Roman" w:hAnsi="Times New Roman" w:cs="Times New Roman"/>
      <w:color w:val="FFFFFF"/>
      <w:sz w:val="12"/>
      <w:szCs w:val="12"/>
      <w:lang w:val="en-GB" w:eastAsia="en-GB"/>
    </w:rPr>
  </w:style>
  <w:style w:type="paragraph" w:customStyle="1" w:styleId="xl224">
    <w:name w:val="xl224"/>
    <w:basedOn w:val="Normln"/>
    <w:qFormat/>
    <w:rsid w:val="00807EEC"/>
    <w:pPr>
      <w:pBdr>
        <w:top w:val="single" w:sz="4" w:space="0" w:color="000000"/>
        <w:left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color w:val="000000"/>
      <w:sz w:val="12"/>
      <w:szCs w:val="12"/>
      <w:lang w:val="en-GB" w:eastAsia="en-GB"/>
    </w:rPr>
  </w:style>
  <w:style w:type="paragraph" w:customStyle="1" w:styleId="xl225">
    <w:name w:val="xl225"/>
    <w:basedOn w:val="Normln"/>
    <w:qFormat/>
    <w:rsid w:val="00807EEC"/>
    <w:pPr>
      <w:pBdr>
        <w:top w:val="single" w:sz="4" w:space="0" w:color="000000"/>
        <w:left w:val="single" w:sz="4" w:space="0" w:color="000000"/>
        <w:right w:val="single" w:sz="4" w:space="0" w:color="000000"/>
      </w:pBdr>
      <w:shd w:val="clear" w:color="000000" w:fill="0000FF"/>
      <w:spacing w:beforeAutospacing="1" w:afterAutospacing="1" w:line="240" w:lineRule="auto"/>
      <w:textAlignment w:val="center"/>
    </w:pPr>
    <w:rPr>
      <w:rFonts w:ascii="Times New Roman" w:eastAsia="Times New Roman" w:hAnsi="Times New Roman" w:cs="Times New Roman"/>
      <w:color w:val="FFFFFF"/>
      <w:sz w:val="12"/>
      <w:szCs w:val="12"/>
      <w:lang w:val="en-GB" w:eastAsia="en-GB"/>
    </w:rPr>
  </w:style>
  <w:style w:type="paragraph" w:customStyle="1" w:styleId="xl226">
    <w:name w:val="xl226"/>
    <w:basedOn w:val="Normln"/>
    <w:qFormat/>
    <w:rsid w:val="00807EEC"/>
    <w:pPr>
      <w:pBdr>
        <w:top w:val="single" w:sz="4" w:space="0" w:color="000000"/>
        <w:left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27">
    <w:name w:val="xl227"/>
    <w:basedOn w:val="Normln"/>
    <w:qFormat/>
    <w:rsid w:val="00807EEC"/>
    <w:pPr>
      <w:pBdr>
        <w:top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28">
    <w:name w:val="xl228"/>
    <w:basedOn w:val="Normln"/>
    <w:qFormat/>
    <w:rsid w:val="00807EEC"/>
    <w:pPr>
      <w:pBdr>
        <w:top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29">
    <w:name w:val="xl229"/>
    <w:basedOn w:val="Normln"/>
    <w:qFormat/>
    <w:rsid w:val="00807EEC"/>
    <w:pPr>
      <w:pBdr>
        <w:top w:val="single" w:sz="4" w:space="0" w:color="000000"/>
        <w:left w:val="single" w:sz="4" w:space="0" w:color="000000"/>
        <w:bottom w:val="single" w:sz="8"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0">
    <w:name w:val="xl230"/>
    <w:basedOn w:val="Normln"/>
    <w:qFormat/>
    <w:rsid w:val="00807EEC"/>
    <w:pPr>
      <w:pBdr>
        <w:top w:val="single" w:sz="4" w:space="0" w:color="000000"/>
        <w:bottom w:val="single" w:sz="8"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1">
    <w:name w:val="xl231"/>
    <w:basedOn w:val="Normln"/>
    <w:qFormat/>
    <w:rsid w:val="00807EEC"/>
    <w:pPr>
      <w:pBdr>
        <w:top w:val="single" w:sz="4" w:space="0" w:color="000000"/>
        <w:lef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2">
    <w:name w:val="xl232"/>
    <w:basedOn w:val="Normln"/>
    <w:qFormat/>
    <w:rsid w:val="00807EEC"/>
    <w:pPr>
      <w:pBdr>
        <w:top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3">
    <w:name w:val="xl233"/>
    <w:basedOn w:val="Normln"/>
    <w:qFormat/>
    <w:rsid w:val="00807EEC"/>
    <w:pPr>
      <w:pBdr>
        <w:top w:val="single" w:sz="4" w:space="0" w:color="000000"/>
        <w:left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4">
    <w:name w:val="xl234"/>
    <w:basedOn w:val="Normln"/>
    <w:qFormat/>
    <w:rsid w:val="00807EEC"/>
    <w:pPr>
      <w:pBdr>
        <w:top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5">
    <w:name w:val="xl235"/>
    <w:basedOn w:val="Normln"/>
    <w:qFormat/>
    <w:rsid w:val="00807EEC"/>
    <w:pPr>
      <w:pBdr>
        <w:top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6">
    <w:name w:val="xl236"/>
    <w:basedOn w:val="Normln"/>
    <w:qFormat/>
    <w:rsid w:val="00807EEC"/>
    <w:pPr>
      <w:pBdr>
        <w:top w:val="single" w:sz="4" w:space="0" w:color="000000"/>
        <w:left w:val="single" w:sz="4" w:space="0" w:color="000000"/>
        <w:bottom w:val="single" w:sz="4" w:space="0" w:color="000000"/>
        <w:right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7">
    <w:name w:val="xl237"/>
    <w:basedOn w:val="Normln"/>
    <w:qFormat/>
    <w:rsid w:val="00807EEC"/>
    <w:pPr>
      <w:pBdr>
        <w:top w:val="single" w:sz="4" w:space="0" w:color="000000"/>
        <w:left w:val="single" w:sz="4" w:space="0" w:color="000000"/>
        <w:bottom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8">
    <w:name w:val="xl238"/>
    <w:basedOn w:val="Normln"/>
    <w:qFormat/>
    <w:rsid w:val="00807EEC"/>
    <w:pPr>
      <w:pBdr>
        <w:top w:val="single" w:sz="4" w:space="0" w:color="000000"/>
        <w:bottom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39">
    <w:name w:val="xl239"/>
    <w:basedOn w:val="Normln"/>
    <w:qFormat/>
    <w:rsid w:val="00807EEC"/>
    <w:pPr>
      <w:pBdr>
        <w:top w:val="single" w:sz="4" w:space="0" w:color="000000"/>
        <w:bottom w:val="single" w:sz="4" w:space="0" w:color="000000"/>
        <w:right w:val="single" w:sz="4" w:space="0" w:color="000000"/>
      </w:pBdr>
      <w:shd w:val="clear" w:color="000000" w:fill="EBF1DE"/>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40">
    <w:name w:val="xl240"/>
    <w:basedOn w:val="Normln"/>
    <w:qFormat/>
    <w:rsid w:val="00807EEC"/>
    <w:pPr>
      <w:pBdr>
        <w:top w:val="single" w:sz="4" w:space="0" w:color="000000"/>
        <w:left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41">
    <w:name w:val="xl241"/>
    <w:basedOn w:val="Normln"/>
    <w:qFormat/>
    <w:rsid w:val="00807EEC"/>
    <w:pPr>
      <w:pBdr>
        <w:top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42">
    <w:name w:val="xl242"/>
    <w:basedOn w:val="Normln"/>
    <w:qFormat/>
    <w:rsid w:val="00807EEC"/>
    <w:pPr>
      <w:pBdr>
        <w:top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43">
    <w:name w:val="xl243"/>
    <w:basedOn w:val="Normln"/>
    <w:qFormat/>
    <w:rsid w:val="00807EEC"/>
    <w:pPr>
      <w:pBdr>
        <w:top w:val="single" w:sz="4" w:space="0" w:color="000000"/>
        <w:left w:val="single" w:sz="4" w:space="0" w:color="000000"/>
        <w:bottom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44">
    <w:name w:val="xl244"/>
    <w:basedOn w:val="Normln"/>
    <w:qFormat/>
    <w:rsid w:val="00807EEC"/>
    <w:pPr>
      <w:pBdr>
        <w:top w:val="single" w:sz="4" w:space="0" w:color="000000"/>
        <w:bottom w:val="single" w:sz="4" w:space="0" w:color="000000"/>
        <w:right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45">
    <w:name w:val="xl245"/>
    <w:basedOn w:val="Normln"/>
    <w:qFormat/>
    <w:rsid w:val="00807EEC"/>
    <w:pPr>
      <w:pBdr>
        <w:top w:val="single" w:sz="4" w:space="0" w:color="000000"/>
        <w:left w:val="single" w:sz="4" w:space="0" w:color="000000"/>
        <w:bottom w:val="single" w:sz="4" w:space="0" w:color="000000"/>
      </w:pBdr>
      <w:shd w:val="clear" w:color="000000" w:fill="EBF1DE"/>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46">
    <w:name w:val="xl246"/>
    <w:basedOn w:val="Normln"/>
    <w:qFormat/>
    <w:rsid w:val="00807EEC"/>
    <w:pPr>
      <w:pBdr>
        <w:top w:val="single" w:sz="4" w:space="0" w:color="000000"/>
        <w:bottom w:val="single" w:sz="4" w:space="0" w:color="000000"/>
        <w:right w:val="single" w:sz="4" w:space="0" w:color="000000"/>
      </w:pBdr>
      <w:shd w:val="clear" w:color="000000" w:fill="EBF1DE"/>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47">
    <w:name w:val="xl247"/>
    <w:basedOn w:val="Normln"/>
    <w:qFormat/>
    <w:rsid w:val="00807EEC"/>
    <w:pPr>
      <w:pBdr>
        <w:top w:val="single" w:sz="8" w:space="0" w:color="000000"/>
        <w:left w:val="single" w:sz="4" w:space="0" w:color="000000"/>
        <w:bottom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48">
    <w:name w:val="xl248"/>
    <w:basedOn w:val="Normln"/>
    <w:qFormat/>
    <w:rsid w:val="00807EEC"/>
    <w:pPr>
      <w:pBdr>
        <w:top w:val="single" w:sz="8" w:space="0" w:color="000000"/>
        <w:bottom w:val="single" w:sz="4" w:space="0" w:color="000000"/>
        <w:right w:val="single" w:sz="4" w:space="0" w:color="000000"/>
      </w:pBdr>
      <w:spacing w:beforeAutospacing="1" w:afterAutospacing="1" w:line="240" w:lineRule="auto"/>
    </w:pPr>
    <w:rPr>
      <w:rFonts w:ascii="Times New Roman" w:eastAsia="Times New Roman" w:hAnsi="Times New Roman" w:cs="Times New Roman"/>
      <w:sz w:val="12"/>
      <w:szCs w:val="12"/>
      <w:lang w:val="en-GB" w:eastAsia="en-GB"/>
    </w:rPr>
  </w:style>
  <w:style w:type="paragraph" w:customStyle="1" w:styleId="xl249">
    <w:name w:val="xl249"/>
    <w:basedOn w:val="Normln"/>
    <w:qFormat/>
    <w:rsid w:val="00807EEC"/>
    <w:pPr>
      <w:pBdr>
        <w:top w:val="single" w:sz="8" w:space="0" w:color="000000"/>
        <w:left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50">
    <w:name w:val="xl250"/>
    <w:basedOn w:val="Normln"/>
    <w:qFormat/>
    <w:rsid w:val="00807EEC"/>
    <w:pPr>
      <w:pBdr>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51">
    <w:name w:val="xl251"/>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b/>
      <w:bCs/>
      <w:color w:val="202124"/>
      <w:sz w:val="12"/>
      <w:szCs w:val="12"/>
      <w:lang w:val="en-GB" w:eastAsia="en-GB"/>
    </w:rPr>
  </w:style>
  <w:style w:type="paragraph" w:customStyle="1" w:styleId="xl252">
    <w:name w:val="xl252"/>
    <w:basedOn w:val="Normln"/>
    <w:qFormat/>
    <w:rsid w:val="00807EEC"/>
    <w:pPr>
      <w:pBdr>
        <w:top w:val="single" w:sz="4" w:space="0" w:color="000000"/>
        <w:left w:val="single" w:sz="4" w:space="0" w:color="000000"/>
        <w:bottom w:val="single" w:sz="8"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53">
    <w:name w:val="xl253"/>
    <w:basedOn w:val="Normln"/>
    <w:qFormat/>
    <w:rsid w:val="00807EEC"/>
    <w:pPr>
      <w:pBdr>
        <w:top w:val="single" w:sz="4" w:space="0" w:color="000000"/>
        <w:bottom w:val="single" w:sz="8"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54">
    <w:name w:val="xl254"/>
    <w:basedOn w:val="Normln"/>
    <w:qFormat/>
    <w:rsid w:val="00807EEC"/>
    <w:pPr>
      <w:pBdr>
        <w:top w:val="single" w:sz="4" w:space="0" w:color="000000"/>
        <w:left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color w:val="202124"/>
      <w:sz w:val="12"/>
      <w:szCs w:val="12"/>
      <w:lang w:val="en-GB" w:eastAsia="en-GB"/>
    </w:rPr>
  </w:style>
  <w:style w:type="paragraph" w:customStyle="1" w:styleId="xl255">
    <w:name w:val="xl255"/>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color w:val="373A3C"/>
      <w:sz w:val="12"/>
      <w:szCs w:val="12"/>
      <w:lang w:val="en-GB" w:eastAsia="en-GB"/>
    </w:rPr>
  </w:style>
  <w:style w:type="paragraph" w:customStyle="1" w:styleId="xl256">
    <w:name w:val="xl256"/>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b/>
      <w:bCs/>
      <w:sz w:val="12"/>
      <w:szCs w:val="12"/>
      <w:lang w:val="en-GB" w:eastAsia="en-GB"/>
    </w:rPr>
  </w:style>
  <w:style w:type="paragraph" w:customStyle="1" w:styleId="xl257">
    <w:name w:val="xl257"/>
    <w:basedOn w:val="Normln"/>
    <w:qFormat/>
    <w:rsid w:val="00807EEC"/>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58">
    <w:name w:val="xl258"/>
    <w:basedOn w:val="Normln"/>
    <w:qFormat/>
    <w:rsid w:val="00807EEC"/>
    <w:pPr>
      <w:pBdr>
        <w:top w:val="single" w:sz="8"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59">
    <w:name w:val="xl259"/>
    <w:basedOn w:val="Normln"/>
    <w:qFormat/>
    <w:rsid w:val="00807EEC"/>
    <w:pPr>
      <w:pBdr>
        <w:top w:val="single" w:sz="4" w:space="0" w:color="000000"/>
        <w:left w:val="single" w:sz="4" w:space="0" w:color="000000"/>
      </w:pBdr>
      <w:spacing w:beforeAutospacing="1" w:afterAutospacing="1" w:line="240" w:lineRule="auto"/>
      <w:textAlignment w:val="center"/>
    </w:pPr>
    <w:rPr>
      <w:rFonts w:ascii="Times New Roman" w:eastAsia="Times New Roman" w:hAnsi="Times New Roman" w:cs="Times New Roman"/>
      <w:color w:val="202124"/>
      <w:sz w:val="12"/>
      <w:szCs w:val="12"/>
      <w:lang w:val="en-GB" w:eastAsia="en-GB"/>
    </w:rPr>
  </w:style>
  <w:style w:type="paragraph" w:customStyle="1" w:styleId="xl260">
    <w:name w:val="xl260"/>
    <w:basedOn w:val="Normln"/>
    <w:qFormat/>
    <w:rsid w:val="00807EEC"/>
    <w:pPr>
      <w:pBdr>
        <w:top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color w:val="202124"/>
      <w:sz w:val="12"/>
      <w:szCs w:val="12"/>
      <w:lang w:val="en-GB" w:eastAsia="en-GB"/>
    </w:rPr>
  </w:style>
  <w:style w:type="paragraph" w:customStyle="1" w:styleId="xl261">
    <w:name w:val="xl261"/>
    <w:basedOn w:val="Normln"/>
    <w:qFormat/>
    <w:rsid w:val="00807EEC"/>
    <w:pPr>
      <w:pBdr>
        <w:top w:val="single" w:sz="4" w:space="0" w:color="000000"/>
        <w:left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b/>
      <w:bCs/>
      <w:color w:val="202124"/>
      <w:sz w:val="12"/>
      <w:szCs w:val="12"/>
      <w:lang w:val="en-GB" w:eastAsia="en-GB"/>
    </w:rPr>
  </w:style>
  <w:style w:type="paragraph" w:customStyle="1" w:styleId="xl262">
    <w:name w:val="xl262"/>
    <w:basedOn w:val="Normln"/>
    <w:qFormat/>
    <w:rsid w:val="00807EEC"/>
    <w:pPr>
      <w:pBdr>
        <w:top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b/>
      <w:bCs/>
      <w:color w:val="202124"/>
      <w:sz w:val="12"/>
      <w:szCs w:val="12"/>
      <w:lang w:val="en-GB" w:eastAsia="en-GB"/>
    </w:rPr>
  </w:style>
  <w:style w:type="paragraph" w:customStyle="1" w:styleId="xl263">
    <w:name w:val="xl263"/>
    <w:basedOn w:val="Normln"/>
    <w:qFormat/>
    <w:rsid w:val="00807EEC"/>
    <w:pPr>
      <w:pBdr>
        <w:top w:val="single" w:sz="4" w:space="0" w:color="000000"/>
        <w:left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color w:val="373A3C"/>
      <w:sz w:val="12"/>
      <w:szCs w:val="12"/>
      <w:lang w:val="en-GB" w:eastAsia="en-GB"/>
    </w:rPr>
  </w:style>
  <w:style w:type="paragraph" w:customStyle="1" w:styleId="xl264">
    <w:name w:val="xl264"/>
    <w:basedOn w:val="Normln"/>
    <w:qFormat/>
    <w:rsid w:val="00807EEC"/>
    <w:pPr>
      <w:pBdr>
        <w:top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color w:val="373A3C"/>
      <w:sz w:val="12"/>
      <w:szCs w:val="12"/>
      <w:lang w:val="en-GB" w:eastAsia="en-GB"/>
    </w:rPr>
  </w:style>
  <w:style w:type="paragraph" w:customStyle="1" w:styleId="xl265">
    <w:name w:val="xl265"/>
    <w:basedOn w:val="Normln"/>
    <w:qFormat/>
    <w:rsid w:val="00807EEC"/>
    <w:pPr>
      <w:pBdr>
        <w:top w:val="single" w:sz="4" w:space="0" w:color="000000"/>
        <w:left w:val="single" w:sz="4" w:space="0" w:color="000000"/>
      </w:pBdr>
      <w:shd w:val="clear" w:color="000000" w:fill="FFFFCC"/>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66">
    <w:name w:val="xl266"/>
    <w:basedOn w:val="Normln"/>
    <w:qFormat/>
    <w:rsid w:val="00807EEC"/>
    <w:pPr>
      <w:pBdr>
        <w:top w:val="single" w:sz="4" w:space="0" w:color="000000"/>
        <w:right w:val="single" w:sz="4" w:space="0" w:color="000000"/>
      </w:pBdr>
      <w:shd w:val="clear" w:color="000000" w:fill="FFFFCC"/>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67">
    <w:name w:val="xl267"/>
    <w:basedOn w:val="Normln"/>
    <w:qFormat/>
    <w:rsid w:val="00807EEC"/>
    <w:pPr>
      <w:pBdr>
        <w:top w:val="single" w:sz="8" w:space="0" w:color="000000"/>
        <w:left w:val="single" w:sz="4" w:space="0" w:color="000000"/>
        <w:bottom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68">
    <w:name w:val="xl268"/>
    <w:basedOn w:val="Normln"/>
    <w:qFormat/>
    <w:rsid w:val="00807EEC"/>
    <w:pPr>
      <w:pBdr>
        <w:top w:val="single" w:sz="8"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69">
    <w:name w:val="xl269"/>
    <w:basedOn w:val="Normln"/>
    <w:qFormat/>
    <w:rsid w:val="00807EEC"/>
    <w:pPr>
      <w:pBdr>
        <w:top w:val="single" w:sz="4" w:space="0" w:color="000000"/>
        <w:left w:val="single" w:sz="4" w:space="0" w:color="000000"/>
        <w:bottom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70">
    <w:name w:val="xl270"/>
    <w:basedOn w:val="Normln"/>
    <w:qFormat/>
    <w:rsid w:val="00807EEC"/>
    <w:pPr>
      <w:pBdr>
        <w:top w:val="single" w:sz="4" w:space="0" w:color="000000"/>
        <w:bottom w:val="single" w:sz="4" w:space="0" w:color="000000"/>
        <w:right w:val="single" w:sz="4" w:space="0" w:color="000000"/>
      </w:pBdr>
      <w:shd w:val="clear" w:color="000000" w:fill="FFFFFF"/>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71">
    <w:name w:val="xl271"/>
    <w:basedOn w:val="Normln"/>
    <w:qFormat/>
    <w:rsid w:val="00807EEC"/>
    <w:pPr>
      <w:pBdr>
        <w:top w:val="single" w:sz="4" w:space="0" w:color="000000"/>
        <w:left w:val="single" w:sz="4" w:space="0" w:color="000000"/>
        <w:bottom w:val="single" w:sz="4"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72">
    <w:name w:val="xl272"/>
    <w:basedOn w:val="Normln"/>
    <w:qFormat/>
    <w:rsid w:val="00807EEC"/>
    <w:pPr>
      <w:pBdr>
        <w:top w:val="single" w:sz="4" w:space="0" w:color="000000"/>
        <w:left w:val="single" w:sz="4" w:space="0" w:color="000000"/>
        <w:bottom w:val="single" w:sz="4" w:space="0" w:color="000000"/>
      </w:pBdr>
      <w:shd w:val="clear" w:color="000000" w:fill="FFFF99"/>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73">
    <w:name w:val="xl273"/>
    <w:basedOn w:val="Normln"/>
    <w:qFormat/>
    <w:rsid w:val="00807EEC"/>
    <w:pPr>
      <w:pBdr>
        <w:top w:val="single" w:sz="4" w:space="0" w:color="000000"/>
        <w:bottom w:val="single" w:sz="4" w:space="0" w:color="000000"/>
        <w:right w:val="single" w:sz="4" w:space="0" w:color="000000"/>
      </w:pBdr>
      <w:shd w:val="clear" w:color="000000" w:fill="FFFF99"/>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74">
    <w:name w:val="xl274"/>
    <w:basedOn w:val="Normln"/>
    <w:qFormat/>
    <w:rsid w:val="00807EEC"/>
    <w:pPr>
      <w:pBdr>
        <w:top w:val="single" w:sz="4" w:space="0" w:color="000000"/>
        <w:left w:val="single" w:sz="4" w:space="0" w:color="000000"/>
        <w:bottom w:val="single" w:sz="4" w:space="0" w:color="000000"/>
      </w:pBdr>
      <w:shd w:val="clear" w:color="000000" w:fill="FFFF99"/>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75">
    <w:name w:val="xl275"/>
    <w:basedOn w:val="Normln"/>
    <w:qFormat/>
    <w:rsid w:val="00807EEC"/>
    <w:pPr>
      <w:pBdr>
        <w:top w:val="single" w:sz="4" w:space="0" w:color="000000"/>
        <w:bottom w:val="single" w:sz="4" w:space="0" w:color="000000"/>
        <w:right w:val="single" w:sz="4" w:space="0" w:color="000000"/>
      </w:pBdr>
      <w:shd w:val="clear" w:color="000000" w:fill="FFFF99"/>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76">
    <w:name w:val="xl276"/>
    <w:basedOn w:val="Normln"/>
    <w:qFormat/>
    <w:rsid w:val="00807EEC"/>
    <w:pPr>
      <w:pBdr>
        <w:top w:val="single" w:sz="4" w:space="0" w:color="000000"/>
        <w:left w:val="single" w:sz="4" w:space="0" w:color="000000"/>
        <w:bottom w:val="single" w:sz="4" w:space="0" w:color="000000"/>
      </w:pBdr>
      <w:shd w:val="clear" w:color="000000" w:fill="FFFFCC"/>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77">
    <w:name w:val="xl277"/>
    <w:basedOn w:val="Normln"/>
    <w:qFormat/>
    <w:rsid w:val="00807EEC"/>
    <w:pPr>
      <w:pBdr>
        <w:top w:val="single" w:sz="4" w:space="0" w:color="000000"/>
        <w:bottom w:val="single" w:sz="4" w:space="0" w:color="000000"/>
        <w:right w:val="single" w:sz="4" w:space="0" w:color="000000"/>
      </w:pBdr>
      <w:shd w:val="clear" w:color="000000" w:fill="FFFFCC"/>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78">
    <w:name w:val="xl278"/>
    <w:basedOn w:val="Normln"/>
    <w:qFormat/>
    <w:rsid w:val="00807EEC"/>
    <w:pPr>
      <w:pBdr>
        <w:top w:val="single" w:sz="4" w:space="0" w:color="000000"/>
        <w:left w:val="single" w:sz="4" w:space="0" w:color="000000"/>
        <w:bottom w:val="single" w:sz="4" w:space="0" w:color="000000"/>
      </w:pBdr>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79">
    <w:name w:val="xl279"/>
    <w:basedOn w:val="Normln"/>
    <w:qFormat/>
    <w:rsid w:val="00807EEC"/>
    <w:pPr>
      <w:pBdr>
        <w:top w:val="single" w:sz="4" w:space="0" w:color="000000"/>
        <w:bottom w:val="single" w:sz="4" w:space="0" w:color="000000"/>
        <w:right w:val="single" w:sz="4" w:space="0" w:color="000000"/>
      </w:pBdr>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80">
    <w:name w:val="xl280"/>
    <w:basedOn w:val="Normln"/>
    <w:qFormat/>
    <w:rsid w:val="00807EEC"/>
    <w:pPr>
      <w:pBdr>
        <w:top w:val="single" w:sz="4" w:space="0" w:color="000000"/>
        <w:left w:val="single" w:sz="4" w:space="0" w:color="000000"/>
        <w:bottom w:val="single" w:sz="8" w:space="0" w:color="000000"/>
        <w:right w:val="single" w:sz="4" w:space="0" w:color="000000"/>
      </w:pBdr>
      <w:spacing w:beforeAutospacing="1" w:afterAutospacing="1" w:line="240" w:lineRule="auto"/>
      <w:textAlignment w:val="center"/>
    </w:pPr>
    <w:rPr>
      <w:rFonts w:ascii="Times New Roman" w:eastAsia="Times New Roman" w:hAnsi="Times New Roman" w:cs="Times New Roman"/>
      <w:sz w:val="12"/>
      <w:szCs w:val="12"/>
      <w:lang w:val="en-GB" w:eastAsia="en-GB"/>
    </w:rPr>
  </w:style>
  <w:style w:type="paragraph" w:customStyle="1" w:styleId="xl281">
    <w:name w:val="xl281"/>
    <w:basedOn w:val="Normln"/>
    <w:qFormat/>
    <w:rsid w:val="00807EEC"/>
    <w:pPr>
      <w:pBdr>
        <w:top w:val="single" w:sz="4" w:space="0" w:color="000000"/>
        <w:left w:val="single" w:sz="4" w:space="0" w:color="000000"/>
      </w:pBdr>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82">
    <w:name w:val="xl282"/>
    <w:basedOn w:val="Normln"/>
    <w:qFormat/>
    <w:rsid w:val="00807EEC"/>
    <w:pPr>
      <w:pBdr>
        <w:top w:val="single" w:sz="4" w:space="0" w:color="000000"/>
        <w:right w:val="single" w:sz="4" w:space="0" w:color="000000"/>
      </w:pBdr>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83">
    <w:name w:val="xl283"/>
    <w:basedOn w:val="Normln"/>
    <w:qFormat/>
    <w:rsid w:val="00807EEC"/>
    <w:pPr>
      <w:pBdr>
        <w:top w:val="single" w:sz="8" w:space="0" w:color="000000"/>
        <w:left w:val="single" w:sz="4" w:space="0" w:color="000000"/>
        <w:bottom w:val="single" w:sz="4" w:space="0" w:color="000000"/>
      </w:pBdr>
      <w:shd w:val="clear" w:color="000000" w:fill="FFFF99"/>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84">
    <w:name w:val="xl284"/>
    <w:basedOn w:val="Normln"/>
    <w:qFormat/>
    <w:rsid w:val="00807EEC"/>
    <w:pPr>
      <w:pBdr>
        <w:top w:val="single" w:sz="8" w:space="0" w:color="000000"/>
        <w:bottom w:val="single" w:sz="4" w:space="0" w:color="000000"/>
        <w:right w:val="single" w:sz="4" w:space="0" w:color="000000"/>
      </w:pBdr>
      <w:shd w:val="clear" w:color="000000" w:fill="FFFF99"/>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85">
    <w:name w:val="xl285"/>
    <w:basedOn w:val="Normln"/>
    <w:qFormat/>
    <w:rsid w:val="00807EEC"/>
    <w:pPr>
      <w:pBdr>
        <w:top w:val="single" w:sz="8" w:space="0" w:color="000000"/>
        <w:left w:val="single" w:sz="4" w:space="0" w:color="000000"/>
        <w:bottom w:val="single" w:sz="8" w:space="0" w:color="000000"/>
      </w:pBdr>
      <w:spacing w:beforeAutospacing="1" w:afterAutospacing="1" w:line="240" w:lineRule="auto"/>
      <w:textAlignment w:val="center"/>
    </w:pPr>
    <w:rPr>
      <w:rFonts w:ascii="Times New Roman" w:eastAsia="Times New Roman" w:hAnsi="Times New Roman" w:cs="Times New Roman"/>
      <w:color w:val="000000"/>
      <w:sz w:val="12"/>
      <w:szCs w:val="12"/>
      <w:lang w:val="en-GB" w:eastAsia="en-GB"/>
    </w:rPr>
  </w:style>
  <w:style w:type="paragraph" w:customStyle="1" w:styleId="xl286">
    <w:name w:val="xl286"/>
    <w:basedOn w:val="Normln"/>
    <w:qFormat/>
    <w:rsid w:val="00807EEC"/>
    <w:pPr>
      <w:pBdr>
        <w:top w:val="single" w:sz="8" w:space="0" w:color="000000"/>
        <w:bottom w:val="single" w:sz="8" w:space="0" w:color="000000"/>
        <w:right w:val="single" w:sz="4" w:space="0" w:color="000000"/>
      </w:pBdr>
      <w:spacing w:beforeAutospacing="1" w:afterAutospacing="1" w:line="240" w:lineRule="auto"/>
      <w:textAlignment w:val="center"/>
    </w:pPr>
    <w:rPr>
      <w:rFonts w:ascii="Times New Roman" w:eastAsia="Times New Roman" w:hAnsi="Times New Roman" w:cs="Times New Roman"/>
      <w:color w:val="000000"/>
      <w:sz w:val="12"/>
      <w:szCs w:val="12"/>
      <w:lang w:val="en-GB" w:eastAsia="en-GB"/>
    </w:rPr>
  </w:style>
  <w:style w:type="paragraph" w:customStyle="1" w:styleId="xl287">
    <w:name w:val="xl287"/>
    <w:basedOn w:val="Normln"/>
    <w:qFormat/>
    <w:rsid w:val="00807EEC"/>
    <w:pPr>
      <w:pBdr>
        <w:bottom w:val="single" w:sz="8" w:space="0" w:color="000000"/>
        <w:right w:val="single" w:sz="4" w:space="0" w:color="000000"/>
      </w:pBdr>
      <w:spacing w:beforeAutospacing="1" w:afterAutospacing="1" w:line="240" w:lineRule="auto"/>
      <w:textAlignment w:val="center"/>
    </w:pPr>
    <w:rPr>
      <w:rFonts w:ascii="Times New Roman" w:eastAsia="Times New Roman" w:hAnsi="Times New Roman" w:cs="Times New Roman"/>
      <w:color w:val="000000"/>
      <w:sz w:val="12"/>
      <w:szCs w:val="12"/>
      <w:lang w:val="en-GB" w:eastAsia="en-GB"/>
    </w:rPr>
  </w:style>
  <w:style w:type="paragraph" w:customStyle="1" w:styleId="xl288">
    <w:name w:val="xl288"/>
    <w:basedOn w:val="Normln"/>
    <w:qFormat/>
    <w:rsid w:val="00807EEC"/>
    <w:pPr>
      <w:pBdr>
        <w:left w:val="single" w:sz="4" w:space="0" w:color="000000"/>
        <w:bottom w:val="single" w:sz="4" w:space="0" w:color="000000"/>
      </w:pBdr>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xl289">
    <w:name w:val="xl289"/>
    <w:basedOn w:val="Normln"/>
    <w:qFormat/>
    <w:rsid w:val="00807EEC"/>
    <w:pPr>
      <w:pBdr>
        <w:bottom w:val="single" w:sz="4" w:space="0" w:color="000000"/>
        <w:right w:val="single" w:sz="4" w:space="0" w:color="000000"/>
      </w:pBdr>
      <w:spacing w:beforeAutospacing="1" w:afterAutospacing="1" w:line="240" w:lineRule="auto"/>
      <w:jc w:val="center"/>
      <w:textAlignment w:val="center"/>
    </w:pPr>
    <w:rPr>
      <w:rFonts w:ascii="Times New Roman" w:eastAsia="Times New Roman" w:hAnsi="Times New Roman" w:cs="Times New Roman"/>
      <w:sz w:val="12"/>
      <w:szCs w:val="12"/>
      <w:lang w:val="en-GB" w:eastAsia="en-GB"/>
    </w:rPr>
  </w:style>
  <w:style w:type="paragraph" w:customStyle="1" w:styleId="text">
    <w:name w:val="text"/>
    <w:basedOn w:val="Normln"/>
    <w:qFormat/>
    <w:rsid w:val="0050000D"/>
    <w:pPr>
      <w:spacing w:beforeAutospacing="1" w:afterAutospacing="1" w:line="240" w:lineRule="auto"/>
    </w:pPr>
    <w:rPr>
      <w:rFonts w:ascii="Times New Roman" w:eastAsia="Times New Roman" w:hAnsi="Times New Roman" w:cs="Times New Roman"/>
      <w:sz w:val="24"/>
      <w:szCs w:val="24"/>
      <w:lang w:eastAsia="cs-CZ"/>
    </w:rPr>
  </w:style>
  <w:style w:type="paragraph" w:customStyle="1" w:styleId="Obsahrmce">
    <w:name w:val="Obsah rámce"/>
    <w:basedOn w:val="Normln"/>
    <w:qFormat/>
  </w:style>
  <w:style w:type="table" w:styleId="Mkatabulky">
    <w:name w:val="Table Grid"/>
    <w:basedOn w:val="Normlntabulka"/>
    <w:uiPriority w:val="59"/>
    <w:rsid w:val="00047F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basedOn w:val="Standardnpsmoodstavce"/>
    <w:uiPriority w:val="99"/>
    <w:unhideWhenUsed/>
    <w:rsid w:val="002C6C60"/>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8314477">
      <w:bodyDiv w:val="1"/>
      <w:marLeft w:val="0"/>
      <w:marRight w:val="0"/>
      <w:marTop w:val="0"/>
      <w:marBottom w:val="0"/>
      <w:divBdr>
        <w:top w:val="none" w:sz="0" w:space="0" w:color="auto"/>
        <w:left w:val="none" w:sz="0" w:space="0" w:color="auto"/>
        <w:bottom w:val="none" w:sz="0" w:space="0" w:color="auto"/>
        <w:right w:val="none" w:sz="0" w:space="0" w:color="auto"/>
      </w:divBdr>
    </w:div>
    <w:div w:id="1162627681">
      <w:bodyDiv w:val="1"/>
      <w:marLeft w:val="0"/>
      <w:marRight w:val="0"/>
      <w:marTop w:val="0"/>
      <w:marBottom w:val="0"/>
      <w:divBdr>
        <w:top w:val="none" w:sz="0" w:space="0" w:color="auto"/>
        <w:left w:val="none" w:sz="0" w:space="0" w:color="auto"/>
        <w:bottom w:val="none" w:sz="0" w:space="0" w:color="auto"/>
        <w:right w:val="none" w:sz="0" w:space="0" w:color="auto"/>
      </w:divBdr>
    </w:div>
    <w:div w:id="1208647091">
      <w:bodyDiv w:val="1"/>
      <w:marLeft w:val="0"/>
      <w:marRight w:val="0"/>
      <w:marTop w:val="0"/>
      <w:marBottom w:val="0"/>
      <w:divBdr>
        <w:top w:val="none" w:sz="0" w:space="0" w:color="auto"/>
        <w:left w:val="none" w:sz="0" w:space="0" w:color="auto"/>
        <w:bottom w:val="none" w:sz="0" w:space="0" w:color="auto"/>
        <w:right w:val="none" w:sz="0" w:space="0" w:color="auto"/>
      </w:divBdr>
    </w:div>
    <w:div w:id="1386223407">
      <w:bodyDiv w:val="1"/>
      <w:marLeft w:val="0"/>
      <w:marRight w:val="0"/>
      <w:marTop w:val="0"/>
      <w:marBottom w:val="0"/>
      <w:divBdr>
        <w:top w:val="none" w:sz="0" w:space="0" w:color="auto"/>
        <w:left w:val="none" w:sz="0" w:space="0" w:color="auto"/>
        <w:bottom w:val="none" w:sz="0" w:space="0" w:color="auto"/>
        <w:right w:val="none" w:sz="0" w:space="0" w:color="auto"/>
      </w:divBdr>
    </w:div>
    <w:div w:id="1398669924">
      <w:bodyDiv w:val="1"/>
      <w:marLeft w:val="0"/>
      <w:marRight w:val="0"/>
      <w:marTop w:val="0"/>
      <w:marBottom w:val="0"/>
      <w:divBdr>
        <w:top w:val="none" w:sz="0" w:space="0" w:color="auto"/>
        <w:left w:val="none" w:sz="0" w:space="0" w:color="auto"/>
        <w:bottom w:val="none" w:sz="0" w:space="0" w:color="auto"/>
        <w:right w:val="none" w:sz="0" w:space="0" w:color="auto"/>
      </w:divBdr>
    </w:div>
    <w:div w:id="1564100994">
      <w:bodyDiv w:val="1"/>
      <w:marLeft w:val="0"/>
      <w:marRight w:val="0"/>
      <w:marTop w:val="0"/>
      <w:marBottom w:val="0"/>
      <w:divBdr>
        <w:top w:val="none" w:sz="0" w:space="0" w:color="auto"/>
        <w:left w:val="none" w:sz="0" w:space="0" w:color="auto"/>
        <w:bottom w:val="none" w:sz="0" w:space="0" w:color="auto"/>
        <w:right w:val="none" w:sz="0" w:space="0" w:color="auto"/>
      </w:divBdr>
    </w:div>
    <w:div w:id="1641424056">
      <w:bodyDiv w:val="1"/>
      <w:marLeft w:val="0"/>
      <w:marRight w:val="0"/>
      <w:marTop w:val="0"/>
      <w:marBottom w:val="0"/>
      <w:divBdr>
        <w:top w:val="none" w:sz="0" w:space="0" w:color="auto"/>
        <w:left w:val="none" w:sz="0" w:space="0" w:color="auto"/>
        <w:bottom w:val="none" w:sz="0" w:space="0" w:color="auto"/>
        <w:right w:val="none" w:sz="0" w:space="0" w:color="auto"/>
      </w:divBdr>
    </w:div>
    <w:div w:id="17182407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66.png"/><Relationship Id="rId299" Type="http://schemas.openxmlformats.org/officeDocument/2006/relationships/hyperlink" Target="https://cs.wikipedia.org/wiki/V&#253;trusovci" TargetMode="External"/><Relationship Id="rId21" Type="http://schemas.openxmlformats.org/officeDocument/2006/relationships/image" Target="media/image10.jpeg"/><Relationship Id="rId63" Type="http://schemas.openxmlformats.org/officeDocument/2006/relationships/hyperlink" Target="https://cs.wikipedia.org/wiki/Korozivzdorn&#225;_ocel" TargetMode="External"/><Relationship Id="rId159" Type="http://schemas.openxmlformats.org/officeDocument/2006/relationships/hyperlink" Target="https://cs.wikipedia.org/wiki/Bun&#283;&#269;n&#225;_st&#283;na" TargetMode="External"/><Relationship Id="rId324" Type="http://schemas.openxmlformats.org/officeDocument/2006/relationships/hyperlink" Target="https://cs.wikipedia.org/wiki/St&#233;lka" TargetMode="External"/><Relationship Id="rId366" Type="http://schemas.openxmlformats.org/officeDocument/2006/relationships/image" Target="media/image123.png"/><Relationship Id="rId170" Type="http://schemas.openxmlformats.org/officeDocument/2006/relationships/hyperlink" Target="https://cs.wikipedia.org/wiki/Z&#225;n&#283;t_st&#345;edn&#237;ho_ucha" TargetMode="External"/><Relationship Id="rId226" Type="http://schemas.openxmlformats.org/officeDocument/2006/relationships/hyperlink" Target="https://cs.wikipedia.org/wiki/D&#253;chac&#237;_soustava" TargetMode="External"/><Relationship Id="rId268" Type="http://schemas.openxmlformats.org/officeDocument/2006/relationships/hyperlink" Target="https://cs.wikipedia.org/wiki/Mikroskop" TargetMode="External"/><Relationship Id="rId32" Type="http://schemas.openxmlformats.org/officeDocument/2006/relationships/image" Target="media/image19.jpeg"/><Relationship Id="rId74" Type="http://schemas.openxmlformats.org/officeDocument/2006/relationships/image" Target="media/image35.png"/><Relationship Id="rId128" Type="http://schemas.openxmlformats.org/officeDocument/2006/relationships/hyperlink" Target="https://cs.wikipedia.org/wiki/Spora" TargetMode="External"/><Relationship Id="rId335" Type="http://schemas.openxmlformats.org/officeDocument/2006/relationships/hyperlink" Target="https://cs.wikipedia.org/wiki/Endosymbi&#243;za" TargetMode="External"/><Relationship Id="rId5" Type="http://schemas.openxmlformats.org/officeDocument/2006/relationships/settings" Target="settings.xml"/><Relationship Id="rId181" Type="http://schemas.openxmlformats.org/officeDocument/2006/relationships/image" Target="media/image84.png"/><Relationship Id="rId237" Type="http://schemas.openxmlformats.org/officeDocument/2006/relationships/hyperlink" Target="https://www.lekarna.cz/trapi-me-imunita/" TargetMode="External"/><Relationship Id="rId279" Type="http://schemas.openxmlformats.org/officeDocument/2006/relationships/hyperlink" Target="https://cs.wikipedia.org/wiki/Chov&#225;n&#237;" TargetMode="External"/><Relationship Id="rId43" Type="http://schemas.openxmlformats.org/officeDocument/2006/relationships/hyperlink" Target="http://www.vti-cz.com/" TargetMode="External"/><Relationship Id="rId139" Type="http://schemas.openxmlformats.org/officeDocument/2006/relationships/hyperlink" Target="https://cs.wikipedia.org/wiki/&#381;ivo&#269;ichov&#233;" TargetMode="External"/><Relationship Id="rId290" Type="http://schemas.openxmlformats.org/officeDocument/2006/relationships/hyperlink" Target="https://cs.wikipedia.org/wiki/Tenk&#233;_st&#345;evo" TargetMode="External"/><Relationship Id="rId304" Type="http://schemas.openxmlformats.org/officeDocument/2006/relationships/hyperlink" Target="https://cs.wikipedia.org/wiki/Ultrafialov&#233;_z&#225;&#345;en&#237;" TargetMode="External"/><Relationship Id="rId346" Type="http://schemas.openxmlformats.org/officeDocument/2006/relationships/hyperlink" Target="https://cs.wikipedia.org/wiki/P&#345;irozen&#253;_v&#253;b&#283;r" TargetMode="External"/><Relationship Id="rId85" Type="http://schemas.openxmlformats.org/officeDocument/2006/relationships/image" Target="media/image42.jpeg"/><Relationship Id="rId150" Type="http://schemas.openxmlformats.org/officeDocument/2006/relationships/image" Target="media/image79.png"/><Relationship Id="rId192" Type="http://schemas.openxmlformats.org/officeDocument/2006/relationships/hyperlink" Target="https://cs.wikipedia.org/wiki/Epifyt" TargetMode="External"/><Relationship Id="rId206" Type="http://schemas.openxmlformats.org/officeDocument/2006/relationships/hyperlink" Target="https://cs.wikipedia.org/wiki/St&#345;evo" TargetMode="External"/><Relationship Id="rId248" Type="http://schemas.openxmlformats.org/officeDocument/2006/relationships/hyperlink" Target="https://cs.wikipedia.org/wiki/Gramnegativn&#237;_bakterie" TargetMode="External"/><Relationship Id="rId12" Type="http://schemas.openxmlformats.org/officeDocument/2006/relationships/hyperlink" Target="http://www.vti-cz.com/" TargetMode="External"/><Relationship Id="rId108" Type="http://schemas.openxmlformats.org/officeDocument/2006/relationships/image" Target="media/image57.png"/><Relationship Id="rId315" Type="http://schemas.openxmlformats.org/officeDocument/2006/relationships/hyperlink" Target="https://cs.wikipedia.org/wiki/Oportunn&#237;_patogen" TargetMode="External"/><Relationship Id="rId357" Type="http://schemas.openxmlformats.org/officeDocument/2006/relationships/image" Target="media/image119.png"/><Relationship Id="rId54" Type="http://schemas.openxmlformats.org/officeDocument/2006/relationships/image" Target="media/image34.jpeg"/><Relationship Id="rId96" Type="http://schemas.openxmlformats.org/officeDocument/2006/relationships/hyperlink" Target="http://www.vti-cz.com/ke-stazeni/ke-stazeni-8" TargetMode="External"/><Relationship Id="rId161" Type="http://schemas.openxmlformats.org/officeDocument/2006/relationships/hyperlink" Target="https://cs.wikipedia.org/wiki/Sacharidy" TargetMode="External"/><Relationship Id="rId217" Type="http://schemas.openxmlformats.org/officeDocument/2006/relationships/hyperlink" Target="https://cs.wikipedia.org/wiki/Spora_(bakterie)" TargetMode="External"/><Relationship Id="rId259" Type="http://schemas.openxmlformats.org/officeDocument/2006/relationships/hyperlink" Target="https://cs.wikipedia.org/w/index.php?title=Fluorochinolon&amp;action=edit&amp;redlink=1" TargetMode="External"/><Relationship Id="rId23" Type="http://schemas.openxmlformats.org/officeDocument/2006/relationships/image" Target="media/image12.jpeg"/><Relationship Id="rId119" Type="http://schemas.openxmlformats.org/officeDocument/2006/relationships/image" Target="media/image68.png"/><Relationship Id="rId270" Type="http://schemas.openxmlformats.org/officeDocument/2006/relationships/hyperlink" Target="https://cs.wikipedia.org/w/index.php?title=Diagnostick&#253;_znak&amp;action=edit&amp;redlink=1" TargetMode="External"/><Relationship Id="rId326" Type="http://schemas.openxmlformats.org/officeDocument/2006/relationships/image" Target="media/image117.png"/><Relationship Id="rId65" Type="http://schemas.openxmlformats.org/officeDocument/2006/relationships/hyperlink" Target="https://cs.wikipedia.org/wiki/Plast" TargetMode="External"/><Relationship Id="rId130" Type="http://schemas.openxmlformats.org/officeDocument/2006/relationships/hyperlink" Target="https://cs.wikipedia.org/wiki/Enterobacteriaceae" TargetMode="External"/><Relationship Id="rId368" Type="http://schemas.openxmlformats.org/officeDocument/2006/relationships/footer" Target="footer1.xml"/><Relationship Id="rId172" Type="http://schemas.openxmlformats.org/officeDocument/2006/relationships/hyperlink" Target="https://cs.wikipedia.org/wiki/Pop&#225;lenina" TargetMode="External"/><Relationship Id="rId228" Type="http://schemas.openxmlformats.org/officeDocument/2006/relationships/hyperlink" Target="https://cs.wikipedia.org/wiki/Pl&#237;ce" TargetMode="External"/><Relationship Id="rId281" Type="http://schemas.openxmlformats.org/officeDocument/2006/relationships/image" Target="media/image109.jpeg"/><Relationship Id="rId337" Type="http://schemas.openxmlformats.org/officeDocument/2006/relationships/hyperlink" Target="https://cs.wikipedia.org/wiki/Dus&#237;k" TargetMode="External"/><Relationship Id="rId34" Type="http://schemas.openxmlformats.org/officeDocument/2006/relationships/hyperlink" Target="https://aq3monitoring.com/" TargetMode="External"/><Relationship Id="rId76" Type="http://schemas.openxmlformats.org/officeDocument/2006/relationships/hyperlink" Target="https://cs.wikipedia.org/wiki/Sklo" TargetMode="External"/><Relationship Id="rId141" Type="http://schemas.openxmlformats.org/officeDocument/2006/relationships/hyperlink" Target="https://cs.wikipedia.org/w/index.php?title=St&#345;evn&#237;_infekce&amp;action=edit&amp;redlink=1" TargetMode="External"/><Relationship Id="rId7" Type="http://schemas.openxmlformats.org/officeDocument/2006/relationships/footnotes" Target="footnotes.xml"/><Relationship Id="rId183" Type="http://schemas.openxmlformats.org/officeDocument/2006/relationships/image" Target="media/image86.png"/><Relationship Id="rId239" Type="http://schemas.openxmlformats.org/officeDocument/2006/relationships/hyperlink" Target="https://cs.wikipedia.org/wiki/Bakterie" TargetMode="External"/><Relationship Id="rId250" Type="http://schemas.openxmlformats.org/officeDocument/2006/relationships/hyperlink" Target="https://cs.wikipedia.org/wiki/Voda" TargetMode="External"/><Relationship Id="rId292" Type="http://schemas.openxmlformats.org/officeDocument/2006/relationships/hyperlink" Target="https://cs.wikipedia.org/wiki/&#381;lu&#269;n&#237;k" TargetMode="External"/><Relationship Id="rId306" Type="http://schemas.openxmlformats.org/officeDocument/2006/relationships/hyperlink" Target="https://cs.wikipedia.org/wiki/Pr&#367;jem" TargetMode="External"/><Relationship Id="rId45" Type="http://schemas.openxmlformats.org/officeDocument/2006/relationships/image" Target="media/image25.png"/><Relationship Id="rId87" Type="http://schemas.openxmlformats.org/officeDocument/2006/relationships/image" Target="media/image44.jpeg"/><Relationship Id="rId110" Type="http://schemas.openxmlformats.org/officeDocument/2006/relationships/image" Target="media/image59.png"/><Relationship Id="rId348" Type="http://schemas.openxmlformats.org/officeDocument/2006/relationships/hyperlink" Target="https://cs.wikipedia.org/wiki/Dus&#237;k" TargetMode="External"/><Relationship Id="rId152" Type="http://schemas.openxmlformats.org/officeDocument/2006/relationships/hyperlink" Target="https://cs.wikipedia.org/wiki/Patogen" TargetMode="External"/><Relationship Id="rId194" Type="http://schemas.openxmlformats.org/officeDocument/2006/relationships/hyperlink" Target="https://cs.wikipedia.org/wiki/Bachor" TargetMode="External"/><Relationship Id="rId208" Type="http://schemas.openxmlformats.org/officeDocument/2006/relationships/image" Target="media/image93.jpeg"/><Relationship Id="rId261" Type="http://schemas.openxmlformats.org/officeDocument/2006/relationships/image" Target="media/image100.jpeg"/><Relationship Id="rId14" Type="http://schemas.openxmlformats.org/officeDocument/2006/relationships/hyperlink" Target="http://www.vti-cz.com/" TargetMode="External"/><Relationship Id="rId56" Type="http://schemas.openxmlformats.org/officeDocument/2006/relationships/hyperlink" Target="https://cs.wikipedia.org/wiki/Spojen&#233;_st&#225;ty_americk&#233;" TargetMode="External"/><Relationship Id="rId317" Type="http://schemas.openxmlformats.org/officeDocument/2006/relationships/hyperlink" Target="https://cs.wikipedia.org/wiki/D&#253;chac&#237;_soustava" TargetMode="External"/><Relationship Id="rId359" Type="http://schemas.openxmlformats.org/officeDocument/2006/relationships/image" Target="media/image121.jpeg"/><Relationship Id="rId98" Type="http://schemas.openxmlformats.org/officeDocument/2006/relationships/image" Target="media/image51.jpeg"/><Relationship Id="rId121" Type="http://schemas.openxmlformats.org/officeDocument/2006/relationships/image" Target="media/image70.wmf"/><Relationship Id="rId163" Type="http://schemas.openxmlformats.org/officeDocument/2006/relationships/image" Target="media/image80.png"/><Relationship Id="rId219" Type="http://schemas.openxmlformats.org/officeDocument/2006/relationships/hyperlink" Target="https://cs.wikipedia.org/wiki/Patogen" TargetMode="External"/><Relationship Id="rId370" Type="http://schemas.openxmlformats.org/officeDocument/2006/relationships/theme" Target="theme/theme1.xml"/><Relationship Id="rId230" Type="http://schemas.openxmlformats.org/officeDocument/2006/relationships/hyperlink" Target="https://cs.wikipedia.org/wiki/Bun&#283;&#269;n&#225;_st&#283;na" TargetMode="External"/><Relationship Id="rId25" Type="http://schemas.openxmlformats.org/officeDocument/2006/relationships/image" Target="media/image14.jpeg"/><Relationship Id="rId67" Type="http://schemas.openxmlformats.org/officeDocument/2006/relationships/hyperlink" Target="https://cs.wikipedia.org/wiki/Sv&#283;tlo" TargetMode="External"/><Relationship Id="rId272" Type="http://schemas.openxmlformats.org/officeDocument/2006/relationships/hyperlink" Target="https://cs.wikipedia.org/wiki/Streptococcus_pneumoniae" TargetMode="External"/><Relationship Id="rId328" Type="http://schemas.openxmlformats.org/officeDocument/2006/relationships/hyperlink" Target="https://cs.wikipedia.org/w/index.php?title=Anabaena_spiroides&amp;action=edit&amp;redlink=1" TargetMode="External"/><Relationship Id="rId132" Type="http://schemas.openxmlformats.org/officeDocument/2006/relationships/hyperlink" Target="https://cs.wikipedia.org/wiki/Termofil" TargetMode="External"/><Relationship Id="rId174" Type="http://schemas.openxmlformats.org/officeDocument/2006/relationships/hyperlink" Target="https://cs.wikipedia.org/wiki/Osteomyelitida" TargetMode="External"/><Relationship Id="rId241" Type="http://schemas.openxmlformats.org/officeDocument/2006/relationships/hyperlink" Target="https://cs.wikipedia.org/wiki/Sepse" TargetMode="External"/><Relationship Id="rId15" Type="http://schemas.openxmlformats.org/officeDocument/2006/relationships/hyperlink" Target="https://aq3monitoring.com" TargetMode="External"/><Relationship Id="rId36" Type="http://schemas.openxmlformats.org/officeDocument/2006/relationships/hyperlink" Target="https://aq3monitoring.com" TargetMode="External"/><Relationship Id="rId57" Type="http://schemas.openxmlformats.org/officeDocument/2006/relationships/hyperlink" Target="https://cs.wikipedia.org/wiki/V&#353;eobecn&#283;_pova&#382;ovan&#253;_za_bezpe&#269;n&#253;" TargetMode="External"/><Relationship Id="rId262" Type="http://schemas.openxmlformats.org/officeDocument/2006/relationships/image" Target="media/image101.jpeg"/><Relationship Id="rId283" Type="http://schemas.openxmlformats.org/officeDocument/2006/relationships/hyperlink" Target="https://cs.wikipedia.org/wiki/Cysta_(st&#225;dium)" TargetMode="External"/><Relationship Id="rId318" Type="http://schemas.openxmlformats.org/officeDocument/2006/relationships/hyperlink" Target="https://cs.wikipedia.org/wiki/Imunodeficience" TargetMode="External"/><Relationship Id="rId339" Type="http://schemas.openxmlformats.org/officeDocument/2006/relationships/hyperlink" Target="https://cs.wikipedia.org/wiki/Virus" TargetMode="External"/><Relationship Id="rId78" Type="http://schemas.openxmlformats.org/officeDocument/2006/relationships/hyperlink" Target="https://cs.wikipedia.org/wiki/Slitiny_hlin&#237;ku" TargetMode="External"/><Relationship Id="rId99" Type="http://schemas.openxmlformats.org/officeDocument/2006/relationships/image" Target="media/image52.jpeg"/><Relationship Id="rId101" Type="http://schemas.openxmlformats.org/officeDocument/2006/relationships/image" Target="media/image55.jpeg"/><Relationship Id="rId122" Type="http://schemas.openxmlformats.org/officeDocument/2006/relationships/image" Target="media/image71.png"/><Relationship Id="rId143" Type="http://schemas.openxmlformats.org/officeDocument/2006/relationships/hyperlink" Target="https://cs.wikipedia.org/wiki/Kampylobakteri&#243;za_pt&#225;k&#367;" TargetMode="External"/><Relationship Id="rId164" Type="http://schemas.openxmlformats.org/officeDocument/2006/relationships/image" Target="media/image81.png"/><Relationship Id="rId185" Type="http://schemas.openxmlformats.org/officeDocument/2006/relationships/image" Target="media/image88.png"/><Relationship Id="rId350" Type="http://schemas.openxmlformats.org/officeDocument/2006/relationships/hyperlink" Target="https://cs.wikipedia.org/wiki/Hnojivo" TargetMode="External"/><Relationship Id="rId9" Type="http://schemas.openxmlformats.org/officeDocument/2006/relationships/image" Target="media/image6.jpeg"/><Relationship Id="rId210" Type="http://schemas.openxmlformats.org/officeDocument/2006/relationships/image" Target="media/image95.jpeg"/><Relationship Id="rId26" Type="http://schemas.openxmlformats.org/officeDocument/2006/relationships/image" Target="media/image15.jpeg"/><Relationship Id="rId231" Type="http://schemas.openxmlformats.org/officeDocument/2006/relationships/hyperlink" Target="https://cs.wikipedia.org/wiki/Lipidy" TargetMode="External"/><Relationship Id="rId252" Type="http://schemas.openxmlformats.org/officeDocument/2006/relationships/hyperlink" Target="https://cs.wikipedia.org/wiki/Z&#225;pal_plic" TargetMode="External"/><Relationship Id="rId273" Type="http://schemas.openxmlformats.org/officeDocument/2006/relationships/hyperlink" Target="https://cs.wikipedia.org/wiki/Z&#225;pal_plic" TargetMode="External"/><Relationship Id="rId294" Type="http://schemas.openxmlformats.org/officeDocument/2006/relationships/hyperlink" Target="https://cs.wikipedia.org/wiki/Enterocyt" TargetMode="External"/><Relationship Id="rId308" Type="http://schemas.openxmlformats.org/officeDocument/2006/relationships/image" Target="media/image111.jpeg"/><Relationship Id="rId329" Type="http://schemas.openxmlformats.org/officeDocument/2006/relationships/hyperlink" Target="https://cs.wikipedia.org/wiki/Voda" TargetMode="External"/><Relationship Id="rId47" Type="http://schemas.openxmlformats.org/officeDocument/2006/relationships/image" Target="media/image27.png"/><Relationship Id="rId68" Type="http://schemas.openxmlformats.org/officeDocument/2006/relationships/hyperlink" Target="https://cs.wikipedia.org/wiki/&#218;sta" TargetMode="External"/><Relationship Id="rId89" Type="http://schemas.openxmlformats.org/officeDocument/2006/relationships/image" Target="media/image46.jpeg"/><Relationship Id="rId112" Type="http://schemas.openxmlformats.org/officeDocument/2006/relationships/image" Target="media/image61.png"/><Relationship Id="rId133" Type="http://schemas.openxmlformats.org/officeDocument/2006/relationships/hyperlink" Target="https://cs.wikipedia.org/wiki/Patogenn&#237;_bakterie" TargetMode="External"/><Relationship Id="rId154" Type="http://schemas.openxmlformats.org/officeDocument/2006/relationships/hyperlink" Target="https://cs.wikipedia.org/wiki/Bakterie" TargetMode="External"/><Relationship Id="rId175" Type="http://schemas.openxmlformats.org/officeDocument/2006/relationships/hyperlink" Target="https://cs.wikipedia.org/w/index.php?title=Pyelonefritida&amp;action=edit&amp;redlink=1" TargetMode="External"/><Relationship Id="rId340" Type="http://schemas.openxmlformats.org/officeDocument/2006/relationships/hyperlink" Target="https://cs.wikipedia.org/wiki/Cyanof&#225;g" TargetMode="External"/><Relationship Id="rId361" Type="http://schemas.openxmlformats.org/officeDocument/2006/relationships/image" Target="media/image122.jpeg"/><Relationship Id="rId196" Type="http://schemas.openxmlformats.org/officeDocument/2006/relationships/hyperlink" Target="https://cs.wikipedia.org/wiki/Bakterie" TargetMode="External"/><Relationship Id="rId200" Type="http://schemas.openxmlformats.org/officeDocument/2006/relationships/hyperlink" Target="https://cs.wikipedia.org/wiki/St&#345;evn&#237;_mikrofl&#243;ra" TargetMode="External"/><Relationship Id="rId16" Type="http://schemas.openxmlformats.org/officeDocument/2006/relationships/hyperlink" Target="http://www.vti-cz.com/" TargetMode="External"/><Relationship Id="rId221" Type="http://schemas.openxmlformats.org/officeDocument/2006/relationships/hyperlink" Target="https://cs.wikipedia.org/wiki/Mycobacterium" TargetMode="External"/><Relationship Id="rId242" Type="http://schemas.openxmlformats.org/officeDocument/2006/relationships/hyperlink" Target="https://cs.wikipedia.org/wiki/Septick&#253;_&#353;ok" TargetMode="External"/><Relationship Id="rId263" Type="http://schemas.openxmlformats.org/officeDocument/2006/relationships/image" Target="media/image102.jpeg"/><Relationship Id="rId284" Type="http://schemas.openxmlformats.org/officeDocument/2006/relationships/hyperlink" Target="https://cs.wikipedia.org/w/index.php?title=Excystace&amp;action=edit&amp;redlink=1" TargetMode="External"/><Relationship Id="rId319" Type="http://schemas.openxmlformats.org/officeDocument/2006/relationships/hyperlink" Target="https://cs.wikipedia.org/wiki/Smrt" TargetMode="External"/><Relationship Id="rId37" Type="http://schemas.openxmlformats.org/officeDocument/2006/relationships/image" Target="media/image20.png"/><Relationship Id="rId58" Type="http://schemas.openxmlformats.org/officeDocument/2006/relationships/hyperlink" Target="https://cs.wikipedia.org/wiki/Antiseptikum" TargetMode="External"/><Relationship Id="rId79" Type="http://schemas.openxmlformats.org/officeDocument/2006/relationships/image" Target="media/image36.jpeg"/><Relationship Id="rId102" Type="http://schemas.openxmlformats.org/officeDocument/2006/relationships/hyperlink" Target="http://www.vti-cz.com/" TargetMode="External"/><Relationship Id="rId123" Type="http://schemas.openxmlformats.org/officeDocument/2006/relationships/image" Target="media/image72.png"/><Relationship Id="rId144" Type="http://schemas.openxmlformats.org/officeDocument/2006/relationships/hyperlink" Target="https://cs.wikipedia.org/wiki/Hygiena" TargetMode="External"/><Relationship Id="rId330" Type="http://schemas.openxmlformats.org/officeDocument/2006/relationships/hyperlink" Target="https://cs.wikipedia.org/wiki/P&#367;da" TargetMode="External"/><Relationship Id="rId90" Type="http://schemas.openxmlformats.org/officeDocument/2006/relationships/hyperlink" Target="http://www.vti-cz.com/" TargetMode="External"/><Relationship Id="rId165" Type="http://schemas.openxmlformats.org/officeDocument/2006/relationships/image" Target="media/image82.png"/><Relationship Id="rId186" Type="http://schemas.openxmlformats.org/officeDocument/2006/relationships/image" Target="media/image89.jpeg"/><Relationship Id="rId351" Type="http://schemas.openxmlformats.org/officeDocument/2006/relationships/hyperlink" Target="https://cs.wikipedia.org/wiki/Plankton" TargetMode="External"/><Relationship Id="rId211" Type="http://schemas.openxmlformats.org/officeDocument/2006/relationships/hyperlink" Target="https://cs.wikipedia.org/wiki/Grampozitivn&#237;" TargetMode="External"/><Relationship Id="rId232" Type="http://schemas.openxmlformats.org/officeDocument/2006/relationships/hyperlink" Target="https://cs.wikipedia.org/w/index.php?title=Kyselina_mykolov&#225;&amp;action=edit&amp;redlink=1" TargetMode="External"/><Relationship Id="rId253" Type="http://schemas.openxmlformats.org/officeDocument/2006/relationships/hyperlink" Target="https://cs.wikipedia.org/wiki/Sepse" TargetMode="External"/><Relationship Id="rId274" Type="http://schemas.openxmlformats.org/officeDocument/2006/relationships/hyperlink" Target="https://cs.wikipedia.org/wiki/Kapavka" TargetMode="External"/><Relationship Id="rId295" Type="http://schemas.openxmlformats.org/officeDocument/2006/relationships/hyperlink" Target="https://cs.wikipedia.org/w/index.php?title=Resorpce&amp;action=edit&amp;redlink=1" TargetMode="External"/><Relationship Id="rId309" Type="http://schemas.openxmlformats.org/officeDocument/2006/relationships/image" Target="media/image112.jpeg"/><Relationship Id="rId27" Type="http://schemas.openxmlformats.org/officeDocument/2006/relationships/image" Target="media/image16.jpeg"/><Relationship Id="rId48" Type="http://schemas.openxmlformats.org/officeDocument/2006/relationships/image" Target="media/image28.png"/><Relationship Id="rId69" Type="http://schemas.openxmlformats.org/officeDocument/2006/relationships/hyperlink" Target="https://cs.wikipedia.org/wiki/Zvracen&#237;" TargetMode="External"/><Relationship Id="rId113" Type="http://schemas.openxmlformats.org/officeDocument/2006/relationships/image" Target="media/image62.png"/><Relationship Id="rId134" Type="http://schemas.openxmlformats.org/officeDocument/2006/relationships/hyperlink" Target="https://cs.wikipedia.org/wiki/Aerobn&#237;" TargetMode="External"/><Relationship Id="rId320" Type="http://schemas.openxmlformats.org/officeDocument/2006/relationships/image" Target="media/image114.jpeg"/><Relationship Id="rId80" Type="http://schemas.openxmlformats.org/officeDocument/2006/relationships/image" Target="media/image37.jpeg"/><Relationship Id="rId155" Type="http://schemas.openxmlformats.org/officeDocument/2006/relationships/hyperlink" Target="https://cs.wikipedia.org/wiki/Legionel&#243;za" TargetMode="External"/><Relationship Id="rId176" Type="http://schemas.openxmlformats.org/officeDocument/2006/relationships/hyperlink" Target="https://cs.wikipedia.org/wiki/Pop&#225;lenina" TargetMode="External"/><Relationship Id="rId197" Type="http://schemas.openxmlformats.org/officeDocument/2006/relationships/hyperlink" Target="https://cs.wikipedia.org/wiki/Clostridium" TargetMode="External"/><Relationship Id="rId341" Type="http://schemas.openxmlformats.org/officeDocument/2006/relationships/hyperlink" Target="https://cs.wikipedia.org/wiki/DNA" TargetMode="External"/><Relationship Id="rId362" Type="http://schemas.openxmlformats.org/officeDocument/2006/relationships/hyperlink" Target="http://www.vti-cz.com/" TargetMode="External"/><Relationship Id="rId201" Type="http://schemas.openxmlformats.org/officeDocument/2006/relationships/hyperlink" Target="https://cs.wikipedia.org/wiki/Antibiotikum" TargetMode="External"/><Relationship Id="rId222" Type="http://schemas.openxmlformats.org/officeDocument/2006/relationships/hyperlink" Target="https://cs.wikipedia.org/wiki/Tuberkul&#243;za" TargetMode="External"/><Relationship Id="rId243" Type="http://schemas.openxmlformats.org/officeDocument/2006/relationships/hyperlink" Target="https://cs.wikipedia.org/wiki/Org&#225;n" TargetMode="External"/><Relationship Id="rId264" Type="http://schemas.openxmlformats.org/officeDocument/2006/relationships/image" Target="media/image103.jpeg"/><Relationship Id="rId285" Type="http://schemas.openxmlformats.org/officeDocument/2006/relationships/hyperlink" Target="https://cs.wikipedia.org/w/index.php?title=Trofozoit&amp;action=edit&amp;redlink=1" TargetMode="External"/><Relationship Id="rId17" Type="http://schemas.openxmlformats.org/officeDocument/2006/relationships/hyperlink" Target="https://aq3monitoring.com" TargetMode="External"/><Relationship Id="rId38" Type="http://schemas.openxmlformats.org/officeDocument/2006/relationships/image" Target="media/image21.jpeg"/><Relationship Id="rId59" Type="http://schemas.openxmlformats.org/officeDocument/2006/relationships/hyperlink" Target="https://cs.wikipedia.org/wiki/Dezinfekce" TargetMode="External"/><Relationship Id="rId103" Type="http://schemas.openxmlformats.org/officeDocument/2006/relationships/hyperlink" Target="http://www.vti-cz.com/" TargetMode="External"/><Relationship Id="rId124" Type="http://schemas.openxmlformats.org/officeDocument/2006/relationships/image" Target="media/image73.png"/><Relationship Id="rId310" Type="http://schemas.openxmlformats.org/officeDocument/2006/relationships/image" Target="media/image113.jpeg"/><Relationship Id="rId70" Type="http://schemas.openxmlformats.org/officeDocument/2006/relationships/hyperlink" Target="https://cs.wikipedia.org/wiki/Pr&#367;jem" TargetMode="External"/><Relationship Id="rId91" Type="http://schemas.openxmlformats.org/officeDocument/2006/relationships/hyperlink" Target="https://aq3monitoring.com" TargetMode="External"/><Relationship Id="rId145" Type="http://schemas.openxmlformats.org/officeDocument/2006/relationships/hyperlink" Target="https://cs.wikipedia.org/wiki/Maso" TargetMode="External"/><Relationship Id="rId166" Type="http://schemas.openxmlformats.org/officeDocument/2006/relationships/image" Target="media/image83.png"/><Relationship Id="rId187" Type="http://schemas.openxmlformats.org/officeDocument/2006/relationships/image" Target="media/image90.jpeg"/><Relationship Id="rId331" Type="http://schemas.openxmlformats.org/officeDocument/2006/relationships/hyperlink" Target="https://cs.wikipedia.org/wiki/Extr&#233;mofil" TargetMode="External"/><Relationship Id="rId352" Type="http://schemas.openxmlformats.org/officeDocument/2006/relationships/hyperlink" Target="https://cs.wikipedia.org/wiki/Vodn&#237;_kv&#283;t" TargetMode="External"/><Relationship Id="rId1" Type="http://schemas.openxmlformats.org/officeDocument/2006/relationships/customXml" Target="../customXml/item1.xml"/><Relationship Id="rId212" Type="http://schemas.openxmlformats.org/officeDocument/2006/relationships/hyperlink" Target="https://cs.wikipedia.org/wiki/Anaerobn&#237;" TargetMode="External"/><Relationship Id="rId233" Type="http://schemas.openxmlformats.org/officeDocument/2006/relationships/hyperlink" Target="https://cs.wikipedia.org/wiki/Virulence" TargetMode="External"/><Relationship Id="rId254" Type="http://schemas.openxmlformats.org/officeDocument/2006/relationships/hyperlink" Target="https://cs.wikipedia.org/wiki/Z&#225;n&#283;t" TargetMode="External"/><Relationship Id="rId28" Type="http://schemas.openxmlformats.org/officeDocument/2006/relationships/image" Target="media/image17.jpeg"/><Relationship Id="rId49" Type="http://schemas.openxmlformats.org/officeDocument/2006/relationships/image" Target="media/image29.png"/><Relationship Id="rId114" Type="http://schemas.openxmlformats.org/officeDocument/2006/relationships/image" Target="media/image63.wmf"/><Relationship Id="rId275" Type="http://schemas.openxmlformats.org/officeDocument/2006/relationships/image" Target="media/image105.jpeg"/><Relationship Id="rId296" Type="http://schemas.openxmlformats.org/officeDocument/2006/relationships/hyperlink" Target="https://cs.wikipedia.org/wiki/Cysta_(stadium)" TargetMode="External"/><Relationship Id="rId300" Type="http://schemas.openxmlformats.org/officeDocument/2006/relationships/hyperlink" Target="https://cs.wikipedia.org/wiki/Savci" TargetMode="External"/><Relationship Id="rId60" Type="http://schemas.openxmlformats.org/officeDocument/2006/relationships/hyperlink" Target="https://cs.wikipedia.org/wiki/Oxida&#269;n&#237;_&#269;inidlo" TargetMode="External"/><Relationship Id="rId81" Type="http://schemas.openxmlformats.org/officeDocument/2006/relationships/image" Target="media/image38.jpeg"/><Relationship Id="rId135" Type="http://schemas.openxmlformats.org/officeDocument/2006/relationships/hyperlink" Target="https://cs.wikipedia.org/wiki/Mikroaerofiln&#237;" TargetMode="External"/><Relationship Id="rId156" Type="http://schemas.openxmlformats.org/officeDocument/2006/relationships/hyperlink" Target="https://cs.wikipedia.org/w/index.php?title=Legionella_pneumophila&amp;action=edit&amp;redlink=1" TargetMode="External"/><Relationship Id="rId177" Type="http://schemas.openxmlformats.org/officeDocument/2006/relationships/hyperlink" Target="https://cs.wikipedia.org/wiki/Aminoglykosidy" TargetMode="External"/><Relationship Id="rId198" Type="http://schemas.openxmlformats.org/officeDocument/2006/relationships/hyperlink" Target="https://cs.wikipedia.org/wiki/Pr&#367;jem" TargetMode="External"/><Relationship Id="rId321" Type="http://schemas.openxmlformats.org/officeDocument/2006/relationships/image" Target="media/image115.jpeg"/><Relationship Id="rId342" Type="http://schemas.openxmlformats.org/officeDocument/2006/relationships/hyperlink" Target="https://cs.wikipedia.org/w/index.php?title=As-1&amp;action=edit&amp;redlink=1" TargetMode="External"/><Relationship Id="rId363" Type="http://schemas.openxmlformats.org/officeDocument/2006/relationships/hyperlink" Target="http://www.vti-cz.com/" TargetMode="External"/><Relationship Id="rId202" Type="http://schemas.openxmlformats.org/officeDocument/2006/relationships/hyperlink" Target="https://cs.wikipedia.org/wiki/Anaerobn&#237;_bakterie" TargetMode="External"/><Relationship Id="rId223" Type="http://schemas.openxmlformats.org/officeDocument/2006/relationships/hyperlink" Target="https://cs.wikipedia.org/wiki/Aerobn&#237;" TargetMode="External"/><Relationship Id="rId244" Type="http://schemas.openxmlformats.org/officeDocument/2006/relationships/hyperlink" Target="https://cs.wikipedia.org/wiki/Toxin" TargetMode="External"/><Relationship Id="rId18" Type="http://schemas.openxmlformats.org/officeDocument/2006/relationships/hyperlink" Target="https://www.wikiskripta.eu/index.php?title=Superoxiddismut&#225;za&amp;action=edit&amp;redlink=1" TargetMode="External"/><Relationship Id="rId39" Type="http://schemas.openxmlformats.org/officeDocument/2006/relationships/image" Target="media/image22.png"/><Relationship Id="rId265" Type="http://schemas.openxmlformats.org/officeDocument/2006/relationships/image" Target="media/image104.jpeg"/><Relationship Id="rId286" Type="http://schemas.openxmlformats.org/officeDocument/2006/relationships/hyperlink" Target="https://cs.wikipedia.org/wiki/Dvan&#225;ctn&#237;k" TargetMode="External"/><Relationship Id="rId50" Type="http://schemas.openxmlformats.org/officeDocument/2006/relationships/image" Target="media/image30.jpeg"/><Relationship Id="rId104" Type="http://schemas.openxmlformats.org/officeDocument/2006/relationships/hyperlink" Target="https://aq3monitoring.com" TargetMode="External"/><Relationship Id="rId125" Type="http://schemas.openxmlformats.org/officeDocument/2006/relationships/image" Target="media/image74.png"/><Relationship Id="rId146" Type="http://schemas.openxmlformats.org/officeDocument/2006/relationships/hyperlink" Target="https://cs.wikipedia.org/wiki/Pasterizace" TargetMode="External"/><Relationship Id="rId167" Type="http://schemas.openxmlformats.org/officeDocument/2006/relationships/hyperlink" Target="https://cs.wikipedia.org/wiki/Slizov&#225;_vrstva" TargetMode="External"/><Relationship Id="rId188" Type="http://schemas.openxmlformats.org/officeDocument/2006/relationships/image" Target="media/image91.jpeg"/><Relationship Id="rId311" Type="http://schemas.openxmlformats.org/officeDocument/2006/relationships/hyperlink" Target="https://cs.wikipedia.org/wiki/Kvasinky" TargetMode="External"/><Relationship Id="rId332" Type="http://schemas.openxmlformats.org/officeDocument/2006/relationships/hyperlink" Target="https://cs.wikipedia.org/wiki/Pou&#353;&#357;" TargetMode="External"/><Relationship Id="rId353" Type="http://schemas.openxmlformats.org/officeDocument/2006/relationships/hyperlink" Target="https://cs.wikipedia.org/wiki/Kysl&#237;k" TargetMode="External"/><Relationship Id="rId71" Type="http://schemas.openxmlformats.org/officeDocument/2006/relationships/hyperlink" Target="https://cs.wikipedia.org/wiki/D&#253;chac&#237;_soustava" TargetMode="External"/><Relationship Id="rId92" Type="http://schemas.openxmlformats.org/officeDocument/2006/relationships/image" Target="media/image47.jpeg"/><Relationship Id="rId213" Type="http://schemas.openxmlformats.org/officeDocument/2006/relationships/hyperlink" Target="https://cs.wikipedia.org/wiki/Bakterie" TargetMode="External"/><Relationship Id="rId234" Type="http://schemas.openxmlformats.org/officeDocument/2006/relationships/image" Target="media/image97.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hyperlink" Target="https://cs.wikipedia.org/wiki/Antibiotick&#225;_rezistence" TargetMode="External"/><Relationship Id="rId276" Type="http://schemas.openxmlformats.org/officeDocument/2006/relationships/image" Target="media/image106.jpeg"/><Relationship Id="rId297" Type="http://schemas.openxmlformats.org/officeDocument/2006/relationships/hyperlink" Target="https://cs.wikipedia.org/wiki/Rod" TargetMode="External"/><Relationship Id="rId40" Type="http://schemas.openxmlformats.org/officeDocument/2006/relationships/image" Target="media/image180.png"/><Relationship Id="rId115" Type="http://schemas.openxmlformats.org/officeDocument/2006/relationships/image" Target="media/image64.png"/><Relationship Id="rId136" Type="http://schemas.openxmlformats.org/officeDocument/2006/relationships/hyperlink" Target="https://cs.wikipedia.org/wiki/Gramnegativn&#237;" TargetMode="External"/><Relationship Id="rId157" Type="http://schemas.openxmlformats.org/officeDocument/2006/relationships/hyperlink" Target="https://cs.wikipedia.org/wiki/S&#233;rotyp" TargetMode="External"/><Relationship Id="rId178" Type="http://schemas.openxmlformats.org/officeDocument/2006/relationships/hyperlink" Target="https://cs.wikipedia.org/wiki/Karbapenem" TargetMode="External"/><Relationship Id="rId301" Type="http://schemas.openxmlformats.org/officeDocument/2006/relationships/hyperlink" Target="https://cs.wikipedia.org/wiki/Pt&#225;ci" TargetMode="External"/><Relationship Id="rId322" Type="http://schemas.openxmlformats.org/officeDocument/2006/relationships/hyperlink" Target="https://cs.wikipedia.org/wiki/Fotosynt&#233;za" TargetMode="External"/><Relationship Id="rId343" Type="http://schemas.openxmlformats.org/officeDocument/2006/relationships/hyperlink" Target="https://cs.wikipedia.org/w/index.php?title=Lpp-1&amp;action=edit&amp;redlink=1" TargetMode="External"/><Relationship Id="rId364" Type="http://schemas.openxmlformats.org/officeDocument/2006/relationships/hyperlink" Target="http://www.vti-cz.com/" TargetMode="External"/><Relationship Id="rId61" Type="http://schemas.openxmlformats.org/officeDocument/2006/relationships/hyperlink" Target="https://cs.wikipedia.org/wiki/K&#367;&#382;e" TargetMode="External"/><Relationship Id="rId82" Type="http://schemas.openxmlformats.org/officeDocument/2006/relationships/image" Target="media/image39.jpeg"/><Relationship Id="rId199" Type="http://schemas.openxmlformats.org/officeDocument/2006/relationships/hyperlink" Target="https://cs.wikipedia.org/wiki/Tr&#225;vic&#237;_soustava" TargetMode="External"/><Relationship Id="rId203" Type="http://schemas.openxmlformats.org/officeDocument/2006/relationships/hyperlink" Target="https://cs.wikipedia.org/wiki/Endospora" TargetMode="External"/><Relationship Id="rId19" Type="http://schemas.openxmlformats.org/officeDocument/2006/relationships/hyperlink" Target="https://www.wikiskripta.eu/w/Alzheimerova_choroba" TargetMode="External"/><Relationship Id="rId224" Type="http://schemas.openxmlformats.org/officeDocument/2006/relationships/hyperlink" Target="https://cs.wikipedia.org/wiki/Kysl&#237;k" TargetMode="External"/><Relationship Id="rId245" Type="http://schemas.openxmlformats.org/officeDocument/2006/relationships/hyperlink" Target="https://cs.wikipedia.org/wiki/Mannitol" TargetMode="External"/><Relationship Id="rId266" Type="http://schemas.openxmlformats.org/officeDocument/2006/relationships/hyperlink" Target="https://www.google.com/url?sa=i&amp;url=https%3A%2F%2Fwww.hygiene-in-practice.com%2Fpathogen%2Fneisseria-gonorrhoeae%2F&amp;psig=AOvVaw0ib3Pfx9JJRuQClo7aFgD8&amp;ust=1610891369847000&amp;source=images&amp;cd=vfe&amp;ved=2ahUKEwj0-J6QzKDuAhWQUM0KHdpDDrAQr4kDegUIARC4AQ" TargetMode="External"/><Relationship Id="rId287" Type="http://schemas.openxmlformats.org/officeDocument/2006/relationships/hyperlink" Target="https://cs.wikipedia.org/wiki/La&#269;n&#237;k" TargetMode="External"/><Relationship Id="rId30" Type="http://schemas.openxmlformats.org/officeDocument/2006/relationships/hyperlink" Target="http://www.vti-cz.com/" TargetMode="External"/><Relationship Id="rId105" Type="http://schemas.openxmlformats.org/officeDocument/2006/relationships/image" Target="media/image54.png"/><Relationship Id="rId126" Type="http://schemas.openxmlformats.org/officeDocument/2006/relationships/hyperlink" Target="https://cs.wikipedia.org/wiki/Gramnegativn&#237;_bakterie" TargetMode="External"/><Relationship Id="rId147" Type="http://schemas.openxmlformats.org/officeDocument/2006/relationships/image" Target="media/image76.png"/><Relationship Id="rId168" Type="http://schemas.openxmlformats.org/officeDocument/2006/relationships/hyperlink" Target="https://cs.wikipedia.org/w/index.php?title=Fluoroscen&#269;n&#237;_pseudomon&#225;dy&amp;action=edit&amp;redlink=1" TargetMode="External"/><Relationship Id="rId312" Type="http://schemas.openxmlformats.org/officeDocument/2006/relationships/hyperlink" Target="https://cs.wikipedia.org/wiki/Myk&#243;za" TargetMode="External"/><Relationship Id="rId333" Type="http://schemas.openxmlformats.org/officeDocument/2006/relationships/hyperlink" Target="https://cs.wikipedia.org/wiki/Pol&#225;rn&#237;_oblast" TargetMode="External"/><Relationship Id="rId354" Type="http://schemas.openxmlformats.org/officeDocument/2006/relationships/hyperlink" Target="https://cs.wikipedia.org/wiki/Vym&#237;r&#225;n&#237;" TargetMode="External"/><Relationship Id="rId51" Type="http://schemas.openxmlformats.org/officeDocument/2006/relationships/image" Target="media/image31.jpeg"/><Relationship Id="rId72" Type="http://schemas.openxmlformats.org/officeDocument/2006/relationships/hyperlink" Target="http://www.vti-cz.com/ke-stazeni/ke-stazeni-8" TargetMode="External"/><Relationship Id="rId93" Type="http://schemas.openxmlformats.org/officeDocument/2006/relationships/image" Target="media/image48.jpeg"/><Relationship Id="rId189" Type="http://schemas.openxmlformats.org/officeDocument/2006/relationships/image" Target="media/image92.jpeg"/><Relationship Id="rId3" Type="http://schemas.openxmlformats.org/officeDocument/2006/relationships/styles" Target="styles.xml"/><Relationship Id="rId214" Type="http://schemas.openxmlformats.org/officeDocument/2006/relationships/hyperlink" Target="https://cs.wikipedia.org/wiki/Ty&#269;inky_(bakterie)" TargetMode="External"/><Relationship Id="rId235" Type="http://schemas.openxmlformats.org/officeDocument/2006/relationships/image" Target="media/image98.jpeg"/><Relationship Id="rId256" Type="http://schemas.openxmlformats.org/officeDocument/2006/relationships/hyperlink" Target="https://cs.wikipedia.org/wiki/Antibiotikum" TargetMode="External"/><Relationship Id="rId277" Type="http://schemas.openxmlformats.org/officeDocument/2006/relationships/image" Target="media/image107.jpeg"/><Relationship Id="rId298" Type="http://schemas.openxmlformats.org/officeDocument/2006/relationships/hyperlink" Target="https://cs.wikipedia.org/wiki/Kokcidie" TargetMode="External"/><Relationship Id="rId116" Type="http://schemas.openxmlformats.org/officeDocument/2006/relationships/image" Target="media/image65.png"/><Relationship Id="rId137" Type="http://schemas.openxmlformats.org/officeDocument/2006/relationships/hyperlink" Target="https://cs.wikipedia.org/wiki/Helicobacter_pylori" TargetMode="External"/><Relationship Id="rId158" Type="http://schemas.openxmlformats.org/officeDocument/2006/relationships/hyperlink" Target="https://cs.wikipedia.org/w/index.php?title=Postrann&#237;_&#345;et&#283;zec&amp;action=edit&amp;redlink=1" TargetMode="External"/><Relationship Id="rId302" Type="http://schemas.openxmlformats.org/officeDocument/2006/relationships/hyperlink" Target="https://cs.wikipedia.org/wiki/Plazi" TargetMode="External"/><Relationship Id="rId323" Type="http://schemas.openxmlformats.org/officeDocument/2006/relationships/hyperlink" Target="https://cs.wikipedia.org/wiki/Ni&#382;&#353;&#237;_rostliny" TargetMode="External"/><Relationship Id="rId344" Type="http://schemas.openxmlformats.org/officeDocument/2006/relationships/hyperlink" Target="https://cs.wikipedia.org/wiki/Synechococcus" TargetMode="External"/><Relationship Id="rId20" Type="http://schemas.openxmlformats.org/officeDocument/2006/relationships/image" Target="media/image9.jpeg"/><Relationship Id="rId41" Type="http://schemas.openxmlformats.org/officeDocument/2006/relationships/image" Target="media/image23.jpeg"/><Relationship Id="rId62" Type="http://schemas.openxmlformats.org/officeDocument/2006/relationships/hyperlink" Target="https://cs.wikipedia.org/wiki/Ho&#345;lavina" TargetMode="External"/><Relationship Id="rId83" Type="http://schemas.openxmlformats.org/officeDocument/2006/relationships/image" Target="media/image40.jpeg"/><Relationship Id="rId179" Type="http://schemas.openxmlformats.org/officeDocument/2006/relationships/hyperlink" Target="https://cs.wikipedia.org/w/index.php?title=Imipenem&amp;action=edit&amp;redlink=1" TargetMode="External"/><Relationship Id="rId365" Type="http://schemas.openxmlformats.org/officeDocument/2006/relationships/hyperlink" Target="http://www.vti-cz.com/" TargetMode="External"/><Relationship Id="rId190" Type="http://schemas.openxmlformats.org/officeDocument/2006/relationships/hyperlink" Target="https://cs.wikipedia.org/wiki/Pitn&#225;_voda" TargetMode="External"/><Relationship Id="rId204" Type="http://schemas.openxmlformats.org/officeDocument/2006/relationships/hyperlink" Target="https://cs.wikipedia.org/wiki/Antibiotikum" TargetMode="External"/><Relationship Id="rId225" Type="http://schemas.openxmlformats.org/officeDocument/2006/relationships/hyperlink" Target="https://cs.wikipedia.org/wiki/Patogen" TargetMode="External"/><Relationship Id="rId246" Type="http://schemas.openxmlformats.org/officeDocument/2006/relationships/hyperlink" Target="https://cs.wikipedia.org/wiki/Transdukce_(genetika)" TargetMode="External"/><Relationship Id="rId267" Type="http://schemas.openxmlformats.org/officeDocument/2006/relationships/hyperlink" Target="https://cs.wikipedia.org/wiki/Bakterie" TargetMode="External"/><Relationship Id="rId288" Type="http://schemas.openxmlformats.org/officeDocument/2006/relationships/hyperlink" Target="https://cs.wikipedia.org/wiki/Duodenum" TargetMode="External"/><Relationship Id="rId106" Type="http://schemas.openxmlformats.org/officeDocument/2006/relationships/image" Target="media/image55.png"/><Relationship Id="rId127" Type="http://schemas.openxmlformats.org/officeDocument/2006/relationships/hyperlink" Target="https://cs.wikipedia.org/wiki/Anaerobn&#237;" TargetMode="External"/><Relationship Id="rId313" Type="http://schemas.openxmlformats.org/officeDocument/2006/relationships/hyperlink" Target="https://cs.wikipedia.org/wiki/Myk&#243;za" TargetMode="External"/><Relationship Id="rId10" Type="http://schemas.openxmlformats.org/officeDocument/2006/relationships/image" Target="media/image7.png"/><Relationship Id="rId31" Type="http://schemas.openxmlformats.org/officeDocument/2006/relationships/hyperlink" Target="https://aq3monitoring.com/" TargetMode="External"/><Relationship Id="rId52" Type="http://schemas.openxmlformats.org/officeDocument/2006/relationships/image" Target="media/image32.jpeg"/><Relationship Id="rId73" Type="http://schemas.openxmlformats.org/officeDocument/2006/relationships/hyperlink" Target="https://aq3monitoring.com" TargetMode="External"/><Relationship Id="rId94" Type="http://schemas.openxmlformats.org/officeDocument/2006/relationships/hyperlink" Target="http://www.vti-cz.com/ke-stazeni/ke-stazeni-8" TargetMode="External"/><Relationship Id="rId148" Type="http://schemas.openxmlformats.org/officeDocument/2006/relationships/image" Target="media/image77.png"/><Relationship Id="rId169" Type="http://schemas.openxmlformats.org/officeDocument/2006/relationships/hyperlink" Target="https://cs.wikipedia.org/w/index.php?title=Z&#225;n&#283;t_mo&#269;ov&#253;ch_cest&amp;action=edit&amp;redlink=1" TargetMode="External"/><Relationship Id="rId334" Type="http://schemas.openxmlformats.org/officeDocument/2006/relationships/hyperlink" Target="https://cs.wikipedia.org/wiki/Symbi&#243;za" TargetMode="External"/><Relationship Id="rId355" Type="http://schemas.openxmlformats.org/officeDocument/2006/relationships/hyperlink" Target="https://cs.wikipedia.org/wiki/Ryby" TargetMode="External"/><Relationship Id="rId4" Type="http://schemas.microsoft.com/office/2007/relationships/stylesWithEffects" Target="stylesWithEffects.xml"/><Relationship Id="rId180" Type="http://schemas.openxmlformats.org/officeDocument/2006/relationships/hyperlink" Target="https://cs.wikipedia.org/w/index.php?title=Ciprofloxacin&amp;action=edit&amp;redlink=1" TargetMode="External"/><Relationship Id="rId215" Type="http://schemas.openxmlformats.org/officeDocument/2006/relationships/hyperlink" Target="https://cs.wikipedia.org/wiki/Bacillus" TargetMode="External"/><Relationship Id="rId236" Type="http://schemas.openxmlformats.org/officeDocument/2006/relationships/hyperlink" Target="https://www.wikiskripta.eu/w/Kancerogeny" TargetMode="External"/><Relationship Id="rId257" Type="http://schemas.openxmlformats.org/officeDocument/2006/relationships/hyperlink" Target="https://cs.wikipedia.org/wiki/Penicilin" TargetMode="External"/><Relationship Id="rId278" Type="http://schemas.openxmlformats.org/officeDocument/2006/relationships/hyperlink" Target="https://www.google.com/url?sa=i&amp;url=https%3A%2F%2Fwww.natur.cuni.cz%2Ffakulta%2Fveda-a-vyzkum%2Fpopularizace%2Fclanky%2Fproc-toxoplazma-snizuje-imunitu-a-zvysuje-pravdepodobnost-narozeni-chlapce%2Fzivotni-cyklus-toxoplasma-gondii%2Fimage_view_fullscreen&amp;psig=AOvVaw2v8ppqs5HV8b8lC8KkmraG&amp;ust=1611150477804000&amp;source=images&amp;cd=vfe&amp;ved=2ahUKEwi00MWwkajuAhVMgRoKHQ8WBcoQr4kDegUIARCRAg" TargetMode="External"/><Relationship Id="rId303" Type="http://schemas.openxmlformats.org/officeDocument/2006/relationships/hyperlink" Target="https://cs.wikipedia.org/wiki/Peroxid_vod&#237;ku" TargetMode="External"/><Relationship Id="rId42" Type="http://schemas.openxmlformats.org/officeDocument/2006/relationships/image" Target="media/image200.png"/><Relationship Id="rId84" Type="http://schemas.openxmlformats.org/officeDocument/2006/relationships/image" Target="media/image41.jpeg"/><Relationship Id="rId138" Type="http://schemas.openxmlformats.org/officeDocument/2006/relationships/hyperlink" Target="https://cs.wikipedia.org/wiki/&#268;lov&#283;k" TargetMode="External"/><Relationship Id="rId345" Type="http://schemas.openxmlformats.org/officeDocument/2006/relationships/hyperlink" Target="https://cs.wikipedia.org/w/index.php?title=Rezistence_(epidemiologie)&amp;action=edit&amp;redlink=1" TargetMode="External"/><Relationship Id="rId191" Type="http://schemas.openxmlformats.org/officeDocument/2006/relationships/hyperlink" Target="https://cs.wikipedia.org/w/index.php?title=Mezn&#237;_hodnota&amp;action=edit&amp;redlink=1" TargetMode="External"/><Relationship Id="rId205" Type="http://schemas.openxmlformats.org/officeDocument/2006/relationships/hyperlink" Target="https://cs.wikipedia.org/w/index.php?title=Pseudomembr&#225;nov&#225;_kolitida&amp;action=edit&amp;redlink=1" TargetMode="External"/><Relationship Id="rId247" Type="http://schemas.openxmlformats.org/officeDocument/2006/relationships/image" Target="media/image99.jpeg"/><Relationship Id="rId107" Type="http://schemas.openxmlformats.org/officeDocument/2006/relationships/image" Target="media/image56.jpeg"/><Relationship Id="rId289" Type="http://schemas.openxmlformats.org/officeDocument/2006/relationships/hyperlink" Target="https://cs.wikipedia.org/wiki/Jejunum" TargetMode="External"/><Relationship Id="rId11" Type="http://schemas.openxmlformats.org/officeDocument/2006/relationships/image" Target="media/image8.png"/><Relationship Id="rId53" Type="http://schemas.openxmlformats.org/officeDocument/2006/relationships/image" Target="media/image33.jpeg"/><Relationship Id="rId149" Type="http://schemas.openxmlformats.org/officeDocument/2006/relationships/image" Target="media/image78.png"/><Relationship Id="rId314" Type="http://schemas.openxmlformats.org/officeDocument/2006/relationships/hyperlink" Target="https://cs.wikipedia.org/wiki/Nosn&#237;_dutina" TargetMode="External"/><Relationship Id="rId356" Type="http://schemas.openxmlformats.org/officeDocument/2006/relationships/chart" Target="charts/chart1.xml"/><Relationship Id="rId95" Type="http://schemas.openxmlformats.org/officeDocument/2006/relationships/image" Target="media/image49.jpeg"/><Relationship Id="rId160" Type="http://schemas.openxmlformats.org/officeDocument/2006/relationships/hyperlink" Target="https://cs.wikipedia.org/wiki/Antigen" TargetMode="External"/><Relationship Id="rId216" Type="http://schemas.openxmlformats.org/officeDocument/2006/relationships/hyperlink" Target="https://cs.wikipedia.org/wiki/Anthrax" TargetMode="External"/><Relationship Id="rId258" Type="http://schemas.openxmlformats.org/officeDocument/2006/relationships/hyperlink" Target="https://cs.wikipedia.org/wiki/Cefalosporin" TargetMode="External"/><Relationship Id="rId22" Type="http://schemas.openxmlformats.org/officeDocument/2006/relationships/image" Target="media/image11.gif"/><Relationship Id="rId64" Type="http://schemas.openxmlformats.org/officeDocument/2006/relationships/hyperlink" Target="https://cs.wikipedia.org/wiki/Sklo" TargetMode="External"/><Relationship Id="rId118" Type="http://schemas.openxmlformats.org/officeDocument/2006/relationships/image" Target="media/image67.png"/><Relationship Id="rId325" Type="http://schemas.openxmlformats.org/officeDocument/2006/relationships/image" Target="media/image116.jpeg"/><Relationship Id="rId367" Type="http://schemas.openxmlformats.org/officeDocument/2006/relationships/header" Target="header1.xml"/><Relationship Id="rId171" Type="http://schemas.openxmlformats.org/officeDocument/2006/relationships/hyperlink" Target="https://cs.wikipedia.org/wiki/Hnis" TargetMode="External"/><Relationship Id="rId227" Type="http://schemas.openxmlformats.org/officeDocument/2006/relationships/hyperlink" Target="https://cs.wikipedia.org/wiki/Savci" TargetMode="External"/><Relationship Id="rId269" Type="http://schemas.openxmlformats.org/officeDocument/2006/relationships/hyperlink" Target="https://cs.wikipedia.org/wiki/Kolonie" TargetMode="External"/><Relationship Id="rId33" Type="http://schemas.openxmlformats.org/officeDocument/2006/relationships/image" Target="media/image150.jpeg"/><Relationship Id="rId129" Type="http://schemas.openxmlformats.org/officeDocument/2006/relationships/hyperlink" Target="https://cs.wikipedia.org/wiki/Bi&#269;&#237;k" TargetMode="External"/><Relationship Id="rId280" Type="http://schemas.openxmlformats.org/officeDocument/2006/relationships/image" Target="media/image108.jpeg"/><Relationship Id="rId336" Type="http://schemas.openxmlformats.org/officeDocument/2006/relationships/hyperlink" Target="https://cs.wikipedia.org/wiki/Plastid" TargetMode="External"/><Relationship Id="rId75" Type="http://schemas.openxmlformats.org/officeDocument/2006/relationships/hyperlink" Target="https://cs.wikipedia.org/wiki/Korozivzdorn&#225;_ocel" TargetMode="External"/><Relationship Id="rId140" Type="http://schemas.openxmlformats.org/officeDocument/2006/relationships/hyperlink" Target="https://cs.wikipedia.org/w/index.php?title=Aliment&#225;rn&#237;_intoxikace&amp;action=edit&amp;redlink=1" TargetMode="External"/><Relationship Id="rId182" Type="http://schemas.openxmlformats.org/officeDocument/2006/relationships/image" Target="media/image85.png"/><Relationship Id="rId6" Type="http://schemas.openxmlformats.org/officeDocument/2006/relationships/webSettings" Target="webSettings.xml"/><Relationship Id="rId238" Type="http://schemas.openxmlformats.org/officeDocument/2006/relationships/hyperlink" Target="https://cs.wikipedia.org/wiki/Grampozitivn&#237;_bakterie" TargetMode="External"/><Relationship Id="rId291" Type="http://schemas.openxmlformats.org/officeDocument/2006/relationships/hyperlink" Target="https://cs.wikipedia.org/wiki/&#381;lu&#269;ovod" TargetMode="External"/><Relationship Id="rId305" Type="http://schemas.openxmlformats.org/officeDocument/2006/relationships/hyperlink" Target="https://cs.wikipedia.org/wiki/Cryptosporidium_parvum" TargetMode="External"/><Relationship Id="rId347" Type="http://schemas.openxmlformats.org/officeDocument/2006/relationships/hyperlink" Target="https://cs.wikipedia.org/wiki/&#381;ivina" TargetMode="External"/><Relationship Id="rId44" Type="http://schemas.openxmlformats.org/officeDocument/2006/relationships/image" Target="media/image24.wmf"/><Relationship Id="rId86" Type="http://schemas.openxmlformats.org/officeDocument/2006/relationships/image" Target="media/image43.jpeg"/><Relationship Id="rId151" Type="http://schemas.openxmlformats.org/officeDocument/2006/relationships/hyperlink" Target="https://cs.wikipedia.org/wiki/Rod_(biologie)" TargetMode="External"/><Relationship Id="rId193" Type="http://schemas.openxmlformats.org/officeDocument/2006/relationships/hyperlink" Target="https://cs.wikipedia.org/w/index.php?title=Amylolytick&#233;_bakterie&amp;action=edit&amp;redlink=1" TargetMode="External"/><Relationship Id="rId207" Type="http://schemas.openxmlformats.org/officeDocument/2006/relationships/hyperlink" Target="https://www.wikiskripta.eu/w/Bakteri&#225;ln&#237;_spora" TargetMode="External"/><Relationship Id="rId249" Type="http://schemas.openxmlformats.org/officeDocument/2006/relationships/hyperlink" Target="https://cs.wikipedia.org/wiki/P&#345;&#237;roda" TargetMode="External"/><Relationship Id="rId13" Type="http://schemas.openxmlformats.org/officeDocument/2006/relationships/hyperlink" Target="https://aq3monitoring.com" TargetMode="External"/><Relationship Id="rId109" Type="http://schemas.openxmlformats.org/officeDocument/2006/relationships/image" Target="media/image58.png"/><Relationship Id="rId260" Type="http://schemas.openxmlformats.org/officeDocument/2006/relationships/hyperlink" Target="https://cs.wikipedia.org/wiki/Karbapenem" TargetMode="External"/><Relationship Id="rId316" Type="http://schemas.openxmlformats.org/officeDocument/2006/relationships/hyperlink" Target="https://cs.wikipedia.org/wiki/Poko&#382;ka_(&#382;ivo&#269;ichov&#233;)" TargetMode="External"/><Relationship Id="rId55" Type="http://schemas.openxmlformats.org/officeDocument/2006/relationships/hyperlink" Target="https://cs.wikipedia.org/wiki/&#218;&#345;ad_pro_kontrolu_potravin_a_l&#233;&#269;iv" TargetMode="External"/><Relationship Id="rId97" Type="http://schemas.openxmlformats.org/officeDocument/2006/relationships/image" Target="media/image50.png"/><Relationship Id="rId120" Type="http://schemas.openxmlformats.org/officeDocument/2006/relationships/image" Target="media/image69.png"/><Relationship Id="rId358" Type="http://schemas.openxmlformats.org/officeDocument/2006/relationships/image" Target="media/image120.jpeg"/><Relationship Id="rId162" Type="http://schemas.openxmlformats.org/officeDocument/2006/relationships/hyperlink" Target="https://cs.wikipedia.org/w/index.php?title=S&#233;rologick&#225;_klasifikace&amp;action=edit&amp;redlink=1" TargetMode="External"/><Relationship Id="rId218" Type="http://schemas.openxmlformats.org/officeDocument/2006/relationships/image" Target="media/image96.jpeg"/><Relationship Id="rId271" Type="http://schemas.openxmlformats.org/officeDocument/2006/relationships/hyperlink" Target="https://cs.wikipedia.org/wiki/Meningitida" TargetMode="External"/><Relationship Id="rId24" Type="http://schemas.openxmlformats.org/officeDocument/2006/relationships/image" Target="media/image13.jpeg"/><Relationship Id="rId66" Type="http://schemas.openxmlformats.org/officeDocument/2006/relationships/hyperlink" Target="https://cs.wikipedia.org/wiki/Slitiny_hlin&#237;ku" TargetMode="External"/><Relationship Id="rId131" Type="http://schemas.openxmlformats.org/officeDocument/2006/relationships/image" Target="media/image75.jpeg"/><Relationship Id="rId327" Type="http://schemas.openxmlformats.org/officeDocument/2006/relationships/image" Target="media/image118.jpeg"/><Relationship Id="rId369" Type="http://schemas.openxmlformats.org/officeDocument/2006/relationships/fontTable" Target="fontTable.xml"/><Relationship Id="rId173" Type="http://schemas.openxmlformats.org/officeDocument/2006/relationships/hyperlink" Target="https://cs.wikipedia.org/wiki/Z&#225;pal_plic" TargetMode="External"/><Relationship Id="rId229" Type="http://schemas.openxmlformats.org/officeDocument/2006/relationships/hyperlink" Target="https://cs.wikipedia.org/wiki/Ty&#269;inky_(bakterie)" TargetMode="External"/><Relationship Id="rId240" Type="http://schemas.openxmlformats.org/officeDocument/2006/relationships/hyperlink" Target="https://cs.wikipedia.org/wiki/Stafylokok" TargetMode="External"/><Relationship Id="rId35" Type="http://schemas.openxmlformats.org/officeDocument/2006/relationships/hyperlink" Target="http://www.vti-cz.com/" TargetMode="External"/><Relationship Id="rId77" Type="http://schemas.openxmlformats.org/officeDocument/2006/relationships/hyperlink" Target="https://cs.wikipedia.org/wiki/Plast" TargetMode="External"/><Relationship Id="rId100" Type="http://schemas.openxmlformats.org/officeDocument/2006/relationships/image" Target="media/image53.jpeg"/><Relationship Id="rId282" Type="http://schemas.openxmlformats.org/officeDocument/2006/relationships/image" Target="media/image110.jpeg"/><Relationship Id="rId338" Type="http://schemas.openxmlformats.org/officeDocument/2006/relationships/hyperlink" Target="https://cs.wikipedia.org/wiki/Uhl&#237;k" TargetMode="External"/><Relationship Id="rId8" Type="http://schemas.openxmlformats.org/officeDocument/2006/relationships/endnotes" Target="endnotes.xml"/><Relationship Id="rId142" Type="http://schemas.openxmlformats.org/officeDocument/2006/relationships/hyperlink" Target="https://cs.wikipedia.org/wiki/Salmonel&#243;za" TargetMode="External"/><Relationship Id="rId184" Type="http://schemas.openxmlformats.org/officeDocument/2006/relationships/image" Target="media/image87.png"/><Relationship Id="rId251" Type="http://schemas.openxmlformats.org/officeDocument/2006/relationships/hyperlink" Target="https://cs.wikipedia.org/wiki/P&#367;da" TargetMode="External"/><Relationship Id="rId46" Type="http://schemas.openxmlformats.org/officeDocument/2006/relationships/image" Target="media/image26.jpeg"/><Relationship Id="rId293" Type="http://schemas.openxmlformats.org/officeDocument/2006/relationships/hyperlink" Target="https://cs.wikipedia.org/w/index.php?title=Adhezivn&#237;_disk&amp;action=edit&amp;redlink=1" TargetMode="External"/><Relationship Id="rId307" Type="http://schemas.openxmlformats.org/officeDocument/2006/relationships/hyperlink" Target="https://cs.wikipedia.org/wiki/HIV" TargetMode="External"/><Relationship Id="rId349" Type="http://schemas.openxmlformats.org/officeDocument/2006/relationships/hyperlink" Target="https://cs.wikipedia.org/wiki/Fosfor" TargetMode="External"/><Relationship Id="rId88" Type="http://schemas.openxmlformats.org/officeDocument/2006/relationships/image" Target="media/image45.jpeg"/><Relationship Id="rId111" Type="http://schemas.openxmlformats.org/officeDocument/2006/relationships/image" Target="media/image60.png"/><Relationship Id="rId153" Type="http://schemas.openxmlformats.org/officeDocument/2006/relationships/hyperlink" Target="https://cs.wikipedia.org/wiki/Gramnegativn&#237;_bakterie" TargetMode="External"/><Relationship Id="rId195" Type="http://schemas.openxmlformats.org/officeDocument/2006/relationships/hyperlink" Target="https://cs.wikipedia.org/wiki/Grampozitivn&#237;_bakterie" TargetMode="External"/><Relationship Id="rId209" Type="http://schemas.openxmlformats.org/officeDocument/2006/relationships/image" Target="media/image94.jpeg"/><Relationship Id="rId360" Type="http://schemas.openxmlformats.org/officeDocument/2006/relationships/hyperlink" Target="http://www.vti-cz.com/ke-stazeni/dokumenty-ke-stazeni-31" TargetMode="External"/><Relationship Id="rId220" Type="http://schemas.openxmlformats.org/officeDocument/2006/relationships/hyperlink" Target="https://cs.wikipedia.org/wiki/Bakterie"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25.png"/></Relationships>
</file>

<file path=word/_rels/header1.xml.rels><?xml version="1.0" encoding="UTF-8" standalone="yes"?>
<Relationships xmlns="http://schemas.openxmlformats.org/package/2006/relationships"><Relationship Id="rId1" Type="http://schemas.openxmlformats.org/officeDocument/2006/relationships/image" Target="media/image124.jpeg"/></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5" Type="http://schemas.openxmlformats.org/officeDocument/2006/relationships/image" Target="media/image5.png"/><Relationship Id="rId4" Type="http://schemas.openxmlformats.org/officeDocument/2006/relationships/image" Target="media/image4.jpeg"/></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cs-CZ"/>
  <c:roundedCorners val="0"/>
  <c:style val="2"/>
  <c:chart>
    <c:autoTitleDeleted val="1"/>
    <c:plotArea>
      <c:layout/>
      <c:scatterChart>
        <c:scatterStyle val="lineMarker"/>
        <c:varyColors val="0"/>
        <c:ser>
          <c:idx val="0"/>
          <c:order val="0"/>
          <c:tx>
            <c:strRef>
              <c:f>label 1</c:f>
              <c:strCache>
                <c:ptCount val="1"/>
                <c:pt idx="0">
                  <c:v>Řada 2</c:v>
                </c:pt>
              </c:strCache>
            </c:strRef>
          </c:tx>
          <c:spPr>
            <a:ln w="28440">
              <a:noFill/>
            </a:ln>
          </c:spPr>
          <c:marker>
            <c:symbol val="square"/>
            <c:size val="5"/>
            <c:spPr>
              <a:solidFill>
                <a:srgbClr val="99CCFF"/>
              </a:solidFill>
            </c:spPr>
          </c:marker>
          <c:dLbls>
            <c:txPr>
              <a:bodyPr/>
              <a:lstStyle/>
              <a:p>
                <a:pPr>
                  <a:defRPr sz="1000" b="0" strike="noStrike" spc="-1">
                    <a:solidFill>
                      <a:srgbClr val="000000"/>
                    </a:solidFill>
                    <a:latin typeface="Calibri"/>
                  </a:defRPr>
                </a:pPr>
                <a:endParaRPr lang="cs-CZ"/>
              </a:p>
            </c:txPr>
            <c:dLblPos val="r"/>
            <c:showLegendKey val="0"/>
            <c:showVal val="0"/>
            <c:showCatName val="0"/>
            <c:showSerName val="0"/>
            <c:showPercent val="0"/>
            <c:showBubbleSize val="1"/>
            <c:separator>; </c:separator>
            <c:showLeaderLines val="0"/>
          </c:dLbls>
          <c:trendline>
            <c:spPr>
              <a:ln w="9360">
                <a:solidFill>
                  <a:srgbClr val="000000"/>
                </a:solidFill>
                <a:round/>
              </a:ln>
            </c:spPr>
            <c:trendlineType val="linear"/>
            <c:dispRSqr val="0"/>
            <c:dispEq val="0"/>
          </c:trendline>
          <c:xVal>
            <c:numRef>
              <c:f>1</c:f>
              <c:numCache>
                <c:formatCode>General</c:formatCode>
                <c:ptCount val="6"/>
                <c:pt idx="0">
                  <c:v>90</c:v>
                </c:pt>
                <c:pt idx="1">
                  <c:v>85</c:v>
                </c:pt>
                <c:pt idx="2">
                  <c:v>75</c:v>
                </c:pt>
                <c:pt idx="3">
                  <c:v>56</c:v>
                </c:pt>
                <c:pt idx="4">
                  <c:v>61</c:v>
                </c:pt>
                <c:pt idx="5">
                  <c:v>1</c:v>
                </c:pt>
              </c:numCache>
            </c:numRef>
          </c:xVal>
          <c:yVal>
            <c:numRef>
              <c:f>0</c:f>
              <c:numCache>
                <c:formatCode>General</c:formatCode>
                <c:ptCount val="6"/>
                <c:pt idx="0">
                  <c:v>493</c:v>
                </c:pt>
                <c:pt idx="1">
                  <c:v>438</c:v>
                </c:pt>
                <c:pt idx="2">
                  <c:v>372</c:v>
                </c:pt>
                <c:pt idx="3">
                  <c:v>272</c:v>
                </c:pt>
                <c:pt idx="4">
                  <c:v>322</c:v>
                </c:pt>
                <c:pt idx="5">
                  <c:v>4.7</c:v>
                </c:pt>
              </c:numCache>
            </c:numRef>
          </c:yVal>
          <c:smooth val="0"/>
        </c:ser>
        <c:dLbls>
          <c:showLegendKey val="0"/>
          <c:showVal val="0"/>
          <c:showCatName val="0"/>
          <c:showSerName val="0"/>
          <c:showPercent val="0"/>
          <c:showBubbleSize val="0"/>
        </c:dLbls>
        <c:axId val="195031552"/>
        <c:axId val="195030976"/>
      </c:scatterChart>
      <c:valAx>
        <c:axId val="195031552"/>
        <c:scaling>
          <c:orientation val="minMax"/>
        </c:scaling>
        <c:delete val="0"/>
        <c:axPos val="b"/>
        <c:majorGridlines>
          <c:spPr>
            <a:ln w="9360">
              <a:solidFill>
                <a:srgbClr val="878787"/>
              </a:solidFill>
              <a:round/>
            </a:ln>
          </c:spPr>
        </c:majorGridlines>
        <c:minorGridlines>
          <c:spPr>
            <a:ln w="9360">
              <a:solidFill>
                <a:srgbClr val="B7B7B7"/>
              </a:solidFill>
              <a:round/>
            </a:ln>
          </c:spPr>
        </c:minorGridlines>
        <c:title>
          <c:tx>
            <c:rich>
              <a:bodyPr rot="0"/>
              <a:lstStyle/>
              <a:p>
                <a:pPr>
                  <a:defRPr lang="cs-CZ" sz="1000" b="1" strike="noStrike" spc="-1">
                    <a:solidFill>
                      <a:srgbClr val="000000"/>
                    </a:solidFill>
                    <a:latin typeface="Calibri"/>
                  </a:defRPr>
                </a:pPr>
                <a:r>
                  <a:rPr lang="cs-CZ" sz="1000" b="1" strike="noStrike" spc="-1">
                    <a:solidFill>
                      <a:srgbClr val="000000"/>
                    </a:solidFill>
                    <a:latin typeface="Calibri"/>
                  </a:rPr>
                  <a:t>koncentrace vápníku (mg/l)</a:t>
                </a:r>
              </a:p>
            </c:rich>
          </c:tx>
          <c:layout/>
          <c:overlay val="0"/>
          <c:spPr>
            <a:noFill/>
            <a:ln>
              <a:noFill/>
            </a:ln>
          </c:spPr>
        </c:title>
        <c:numFmt formatCode="General" sourceLinked="0"/>
        <c:majorTickMark val="out"/>
        <c:minorTickMark val="none"/>
        <c:tickLblPos val="nextTo"/>
        <c:spPr>
          <a:ln w="9360">
            <a:solidFill>
              <a:srgbClr val="878787"/>
            </a:solidFill>
            <a:round/>
          </a:ln>
        </c:spPr>
        <c:txPr>
          <a:bodyPr/>
          <a:lstStyle/>
          <a:p>
            <a:pPr>
              <a:defRPr sz="1000" b="0" strike="noStrike" spc="-1">
                <a:solidFill>
                  <a:srgbClr val="000000"/>
                </a:solidFill>
                <a:latin typeface="Calibri"/>
              </a:defRPr>
            </a:pPr>
            <a:endParaRPr lang="cs-CZ"/>
          </a:p>
        </c:txPr>
        <c:crossAx val="195030976"/>
        <c:crosses val="autoZero"/>
        <c:crossBetween val="midCat"/>
      </c:valAx>
      <c:valAx>
        <c:axId val="195030976"/>
        <c:scaling>
          <c:orientation val="minMax"/>
        </c:scaling>
        <c:delete val="0"/>
        <c:axPos val="l"/>
        <c:majorGridlines>
          <c:spPr>
            <a:ln w="9360">
              <a:solidFill>
                <a:srgbClr val="878787"/>
              </a:solidFill>
              <a:round/>
            </a:ln>
          </c:spPr>
        </c:majorGridlines>
        <c:minorGridlines>
          <c:spPr>
            <a:ln w="9360">
              <a:solidFill>
                <a:srgbClr val="B7B7B7"/>
              </a:solidFill>
              <a:round/>
            </a:ln>
          </c:spPr>
        </c:minorGridlines>
        <c:title>
          <c:tx>
            <c:rich>
              <a:bodyPr rot="-5400000"/>
              <a:lstStyle/>
              <a:p>
                <a:pPr>
                  <a:defRPr lang="en-US" sz="1000" b="1" strike="noStrike" spc="-1">
                    <a:solidFill>
                      <a:srgbClr val="000000"/>
                    </a:solidFill>
                    <a:latin typeface="Calibri"/>
                  </a:defRPr>
                </a:pPr>
                <a:r>
                  <a:rPr lang="en-US" sz="1000" b="1" strike="noStrike" spc="-1">
                    <a:solidFill>
                      <a:srgbClr val="000000"/>
                    </a:solidFill>
                    <a:latin typeface="Calibri"/>
                  </a:rPr>
                  <a:t>vodivost uS/cm</a:t>
                </a:r>
              </a:p>
            </c:rich>
          </c:tx>
          <c:layout/>
          <c:overlay val="0"/>
          <c:spPr>
            <a:noFill/>
            <a:ln>
              <a:noFill/>
            </a:ln>
          </c:spPr>
        </c:title>
        <c:numFmt formatCode="General" sourceLinked="0"/>
        <c:majorTickMark val="out"/>
        <c:minorTickMark val="none"/>
        <c:tickLblPos val="nextTo"/>
        <c:spPr>
          <a:ln w="9360">
            <a:solidFill>
              <a:srgbClr val="878787"/>
            </a:solidFill>
            <a:round/>
          </a:ln>
        </c:spPr>
        <c:txPr>
          <a:bodyPr/>
          <a:lstStyle/>
          <a:p>
            <a:pPr>
              <a:defRPr sz="1000" b="0" strike="noStrike" spc="-1">
                <a:solidFill>
                  <a:srgbClr val="000000"/>
                </a:solidFill>
                <a:latin typeface="Calibri"/>
              </a:defRPr>
            </a:pPr>
            <a:endParaRPr lang="cs-CZ"/>
          </a:p>
        </c:txPr>
        <c:crossAx val="195031552"/>
        <c:crosses val="autoZero"/>
        <c:crossBetween val="midCat"/>
      </c:valAx>
      <c:spPr>
        <a:solidFill>
          <a:srgbClr val="FFFFFF"/>
        </a:solidFill>
        <a:ln>
          <a:noFill/>
        </a:ln>
      </c:spPr>
    </c:plotArea>
    <c:plotVisOnly val="1"/>
    <c:dispBlanksAs val="gap"/>
    <c:showDLblsOverMax val="1"/>
  </c:chart>
  <c:spPr>
    <a:solidFill>
      <a:srgbClr val="FFFFFF"/>
    </a:solidFill>
    <a:ln w="9360">
      <a:solidFill>
        <a:srgbClr val="D9D9D9"/>
      </a:solidFill>
      <a:round/>
    </a:ln>
  </c:spPr>
</c:chartSpace>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E6E9BE-5AF3-47F9-AB20-7EA43EB64E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53</Pages>
  <Words>18956</Words>
  <Characters>111843</Characters>
  <Application>Microsoft Office Word</Application>
  <DocSecurity>0</DocSecurity>
  <Lines>932</Lines>
  <Paragraphs>261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130538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michael</dc:creator>
  <cp:lastModifiedBy>VTI</cp:lastModifiedBy>
  <cp:revision>6</cp:revision>
  <cp:lastPrinted>2021-03-23T12:09:00Z</cp:lastPrinted>
  <dcterms:created xsi:type="dcterms:W3CDTF">2022-02-22T05:26:00Z</dcterms:created>
  <dcterms:modified xsi:type="dcterms:W3CDTF">2022-02-22T05:50:00Z</dcterms:modified>
  <dc:language>cs-CZ</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